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Spacing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№ 5</w:t>
      </w:r>
      <w:r>
        <w:rPr>
          <w:rFonts w:cs="Times New Roman" w:ascii="Times New Roman" w:hAnsi="Times New Roman"/>
          <w:sz w:val="28"/>
          <w:szCs w:val="28"/>
        </w:rPr>
        <w:t>37</w:t>
      </w:r>
      <w:r>
        <w:rPr>
          <w:rFonts w:cs="Times New Roman" w:ascii="Times New Roman" w:hAnsi="Times New Roman"/>
          <w:sz w:val="28"/>
          <w:szCs w:val="28"/>
        </w:rPr>
        <w:t>-К</w:t>
      </w:r>
    </w:p>
    <w:p>
      <w:pPr>
        <w:pStyle w:val="NoSpacing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 xml:space="preserve"> декабря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противодействия коррупции в Контрольно-счетной палате Краснодарского края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-202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годы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60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3"/>
        <w:gridCol w:w="8304"/>
        <w:gridCol w:w="3968"/>
        <w:gridCol w:w="3226"/>
      </w:tblGrid>
      <w:tr>
        <w:trPr/>
        <w:tc>
          <w:tcPr>
            <w:tcW w:w="593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830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Исполнители</w:t>
            </w:r>
          </w:p>
        </w:tc>
        <w:tc>
          <w:tcPr>
            <w:tcW w:w="322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Срок исполнения</w:t>
            </w:r>
          </w:p>
        </w:tc>
      </w:tr>
      <w:tr>
        <w:trPr/>
        <w:tc>
          <w:tcPr>
            <w:tcW w:w="593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30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22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16091" w:type="dxa"/>
            <w:gridSpan w:val="4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numPr>
                <w:ilvl w:val="0"/>
                <w:numId w:val="3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Участие в пределах полномочий в мероприятиях, направленных на противодействие коррупции</w:t>
            </w:r>
          </w:p>
        </w:tc>
      </w:tr>
      <w:tr>
        <w:trPr/>
        <w:tc>
          <w:tcPr>
            <w:tcW w:w="593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4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Принятие мер по недопущению нецелевого использования бюджетных ассигнований федерального (краевого) бюджета, выделяемых на реализацию национальных проектов, предусмотренных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Аудиторы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структурных подразделений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Инспекторский состав</w:t>
            </w:r>
          </w:p>
        </w:tc>
        <w:tc>
          <w:tcPr>
            <w:tcW w:w="322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соответствии с Планами работы Контрольно-счетной палаты Краснодарского края на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</w:t>
            </w:r>
          </w:p>
        </w:tc>
      </w:tr>
      <w:tr>
        <w:trPr/>
        <w:tc>
          <w:tcPr>
            <w:tcW w:w="16091" w:type="dxa"/>
            <w:gridSpan w:val="4"/>
            <w:tcBorders/>
            <w:vAlign w:val="center"/>
          </w:tcPr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Повышение эффективности механизмов урегулирования конфликта интересов, обеспечение соблюдения государственными гражданскими служащими правил, ограничений, запретов и принципов служебного поведения в связи с исполнением ими должностных обязанностей, а также ответственности за их нарушения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Обеспечение деятельности Комиссии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по соблюдению требований к служебному поведению государственных гражданских служащих Краснодарского края в Контрольно-счетной палате Краснодарского края и урегулированию конфликта интересов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Председатель комиссии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председателя комиссии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управление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мере необходимости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Совершенствование аудиторских методов и процедур, направленных на выявление, предупреждение и профилактику коррупции в системе управления государственными финансами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Аудиторы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структурных подразделений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Инспекторский состав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Актуализация персональных данных и иных сведений в личных делах сотрудников Контрольно-счетной палаты Краснодарского края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Каждый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I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квартал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</w:t>
            </w:r>
          </w:p>
        </w:tc>
      </w:tr>
      <w:tr>
        <w:trPr>
          <w:trHeight w:val="2874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соблюдения государственными гражданскими служащими Краснодарского края в Контрольно-счетной палате Краснодарского края (далее – гражданские служащие) запретов, ограничений и требований, установленных в целях противодействия коррупции, в том числе касающихся получения подарков, участия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Обеспечение контроля за применением предусмотренных законодательством Российской Федерации мер юридической ответственности в каждом случае несоблюдения гражданскими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управление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 в соответствии с законодательством Российской Федерации и Краснодарского края, обеспечение контроля за своевременностью представления указанных сведений.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 30 апреля,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Обеспечение с учетом требований информационной безопасности обработки сведений о доходах, расходах, об имуществе и обязательствах имущественного характера, анализ указанных сведений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мере необходимости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Подготовка сведений о доходах, расходах, об имуществе и обязательствах имущественного характера и их размещение на официальном сайте Контрольно-счетной палаты Краснодарского края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компьютерных технологий и информационной безопасности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</w:tr>
      <w:tr>
        <w:trPr>
          <w:trHeight w:val="1776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 и иных сведений, представляемых в соответствии с законодательством Российской Федерации гражданами, претендующими на замещение должностей государственной гражданской службы Краснодарского края в Контрольно-счетной палате Краснодарского края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мере необходимости</w:t>
            </w:r>
          </w:p>
        </w:tc>
      </w:tr>
      <w:tr>
        <w:trPr>
          <w:trHeight w:val="1816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Ознакомление граждан, поступающих на государственную гражданскую службу Краснодарского края в Контрольно-счетной палате Краснодарского края, с установленными законодательством Российской Федерации и законодательством Краснодарского края ограничениями, запретами и обязанностями в целях противодействия коррупции, ответственностью за коррупционные правонарушения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Наставники, назначенные новым сотрудникам в соответствии с Положением о наставничестве Контрольно-счетной палаты Краснодарского края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 поступлении граждан на государственную гражданскую службу</w:t>
            </w:r>
          </w:p>
        </w:tc>
      </w:tr>
      <w:tr>
        <w:trPr>
          <w:trHeight w:val="862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мероприятий, направленных на обеспечение соблюдения гражданскими служащими общих принципов служебного поведения, норм профессиональной этики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Аудиторы,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структурных подразделений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>
          <w:trHeight w:val="887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учебно-методических занятий по вопросам соблюдения требований и положений антикоррупционного законодательства Российской Федерации, ответственности за нарушение указанных требований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мере необходимости</w:t>
            </w:r>
          </w:p>
        </w:tc>
      </w:tr>
      <w:tr>
        <w:trPr>
          <w:trHeight w:val="887" w:hRule="atLeast"/>
        </w:trPr>
        <w:tc>
          <w:tcPr>
            <w:tcW w:w="593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Профессиональное развитие в области противодействия коррупции гражданских служащих, в должностные обязанности которых входит участие в противодействии коррупции, а также гражданских служащих, в должностные обязанности которых входит участие в проведении закупок товаров, работ и услуг для обеспечения деятельности Контрольно-счетной палаты Краснодарского края </w:t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Общий отдел</w:t>
            </w:r>
          </w:p>
        </w:tc>
        <w:tc>
          <w:tcPr>
            <w:tcW w:w="322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мере необходимости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Стандартов Контрольно-счетной палаты Краснодарского края на предмет актуальности в целях своевременного внесения изменений и дополнений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управление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Оказание гражданским служащим консультативной, информационной и иной помощи по вопросам исполнения законодательства о противодействии коррупции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16091" w:type="dxa"/>
            <w:gridSpan w:val="4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Выявление и систематизация причин и условий проявления коррупции в деятельности Контрольно-счетной палаты Краснодарского края, мониторинг коррупционных рисков и их устранение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5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Незамедлительная передача в установленном порядке материалов контрольных мероприятий в правоохранительные органы, в случае выявления фактов незаконного использования средств бюджета Краснодарского края и (или) местного бюджета, а также средств бюджета территориального государственного внебюджетного фонда Краснодарского края, в которых усматриваются признаки преступления или коррупционного правонарушения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Аудиторы,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структурных подразделений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5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Совершенствование условий, процедур и механизмов закупок товаров, работ, услуг для нужд Контрольно-счетной палаты Краснодарского края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Организационный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отдел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>
          <w:trHeight w:val="967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5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функционирования электронного взаимодействия с гражданами и организациями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компьютерных технологий и информационной безопасности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2022-2024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>
          <w:trHeight w:val="1249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5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контроля за соблюдением сотрудниками Контрольно-счетной палаты Краснодарского края, находящимися в командировках, правил поведения, исключающих возможность компрометирующих связей и действий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Аудиторы,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структурных подразделений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>
          <w:trHeight w:val="574" w:hRule="atLeast"/>
        </w:trPr>
        <w:tc>
          <w:tcPr>
            <w:tcW w:w="16091" w:type="dxa"/>
            <w:gridSpan w:val="4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Взаимодействие Контрольно-счетной палаты Краснодарского края с институтами гражданского общества и гражданами, обеспечение доступности информации о деятельности Контрольно-счетной палаты Краснодарского края</w:t>
            </w:r>
          </w:p>
        </w:tc>
      </w:tr>
      <w:tr>
        <w:trPr>
          <w:trHeight w:val="1546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Информирование общественности посредством размещения на официальном сайте Контрольно-счетной палаты Краснодарского края актуальной информации о проведении и результатах контрольных и экспертно-аналитических мероприятий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Аудиторы,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Руководители структурных подразделений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Инспекторский состав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Ведение специализированного раздела на официальном сайте Контрольно-счетной палаты Краснодарского края, посвященного вопросам противодействия коррупции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компьютерных технологий и информационной безопасности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Осуществление анализа жалоб и обращений граждан, организаций (в том числе поступающих через официальный сайт Контрольно-счетной палаты Краснодарского края) с точки зрения наличия сведений о фактах коррупции со стороны сотрудников Контрольно-счетной палаты Краснодарского края и проверки наличия фактов, указанных в обращениях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управление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Осуществление анализа публикаций в средствах массовой информации с точки зрения наличия сведений о фактах коррупции со стороны сотрудников Контрольно-счетной палаты Краснодарского края и проверки наличия фактов, указанных в публикациях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государственной службы, кадровой работы и противодействия коррупции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представителей Контрольно-счетной палаты Краснодарского края в научно-практических мероприятиях по вопросам противодействия коррупции</w:t>
            </w:r>
          </w:p>
        </w:tc>
        <w:tc>
          <w:tcPr>
            <w:tcW w:w="3968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указани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руководства</w:t>
            </w:r>
          </w:p>
        </w:tc>
        <w:tc>
          <w:tcPr>
            <w:tcW w:w="322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гг.,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приглашению организаторов соответствующих мероприятий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orient="landscape" w:w="16838" w:h="11906"/>
      <w:pgMar w:left="567" w:right="395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suff w:val="nothing"/>
      <w:lvlText w:val="2.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suff w:val="nothing"/>
      <w:lvlText w:val="1.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suff w:val="nothing"/>
      <w:lvlText w:val="3.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suff w:val="nothing"/>
      <w:lvlText w:val="4.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48e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cd250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d250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LibreOffice/7.6.7.2$Linux_X86_64 LibreOffice_project/60$Build-2</Application>
  <AppVersion>15.0000</AppVersion>
  <Pages>4</Pages>
  <Words>1172</Words>
  <Characters>9259</Characters>
  <CharactersWithSpaces>10272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2023-06-02T11:32:00Z</dcterms:created>
  <dc:creator>Мусатов</dc:creator>
  <dc:description/>
  <dc:language>ru-RU</dc:language>
  <cp:lastModifiedBy/>
  <cp:lastPrinted>2021-09-28T08:09:00Z</cp:lastPrinted>
  <dcterms:modified xsi:type="dcterms:W3CDTF">2025-03-25T10:32:11Z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