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left="6372"/>
        <w:rPr>
          <w:sz w:val="28"/>
        </w:rPr>
      </w:pPr>
      <w:r>
        <w:t xml:space="preserve">Приложение № </w:t>
      </w:r>
      <w:r>
        <w:rPr>
          <w:sz w:val="28"/>
        </w:rPr>
        <w:t>8</w:t>
      </w:r>
    </w:p>
    <w:p w14:paraId="04000000">
      <w:pPr>
        <w:spacing w:after="0" w:line="240" w:lineRule="auto"/>
        <w:ind w:left="63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четной  политике </w:t>
      </w:r>
    </w:p>
    <w:p w14:paraId="05000000">
      <w:pPr>
        <w:spacing w:after="0" w:line="240" w:lineRule="auto"/>
        <w:ind w:left="63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Контрольно-счетной палаты </w:t>
      </w:r>
    </w:p>
    <w:p w14:paraId="06000000">
      <w:pPr>
        <w:spacing w:after="0" w:line="240" w:lineRule="auto"/>
        <w:ind w:left="63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Краснодарского края </w:t>
      </w:r>
    </w:p>
    <w:p w14:paraId="07000000">
      <w:pPr>
        <w:pStyle w:val="Style_3"/>
        <w:spacing w:after="0" w:before="0" w:line="326" w:lineRule="atLeast"/>
        <w:ind/>
        <w:rPr>
          <w:b w:val="1"/>
          <w:color w:val="000000"/>
          <w:sz w:val="32"/>
        </w:rPr>
      </w:pPr>
    </w:p>
    <w:p w14:paraId="08000000">
      <w:pPr>
        <w:pStyle w:val="Style_3"/>
        <w:spacing w:after="0" w:before="0"/>
        <w:ind w:firstLine="709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Порядок оформления документов о вручении ценных подарков (сувенирной продукции) и их учета</w:t>
      </w:r>
    </w:p>
    <w:p w14:paraId="09000000">
      <w:pPr>
        <w:pStyle w:val="Style_3"/>
        <w:spacing w:after="0" w:before="0"/>
        <w:ind w:firstLine="709"/>
        <w:jc w:val="center"/>
        <w:rPr>
          <w:b w:val="1"/>
          <w:color w:val="000000"/>
          <w:sz w:val="28"/>
        </w:rPr>
      </w:pPr>
    </w:p>
    <w:p w14:paraId="0A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1. Настоящий Порядок устанавливает правила оформления документов о вручении ценных подарков (сувенирной продукции</w:t>
      </w:r>
      <w:r>
        <w:rPr>
          <w:color w:val="000000"/>
          <w:sz w:val="28"/>
        </w:rPr>
        <w:t>), иных материальных ценностей.</w:t>
      </w:r>
    </w:p>
    <w:p w14:paraId="0B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 Ценные подарки (сувенирная продукция), иные материальные ценности вручаются при проведении торжественных и протокольных мероприятий и в иных случаях.</w:t>
      </w:r>
    </w:p>
    <w:p w14:paraId="0C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 Основанием для вручения ценного подарка (сувенирной продукции), иных материальных ценностей является приказ.</w:t>
      </w:r>
    </w:p>
    <w:p w14:paraId="0D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 Факт передачи (вручения) ценных подарков (сувенирной продукции) подтверждается актом, составленным по форме, приведенной в Приложении к настоящему Порядку.</w:t>
      </w:r>
    </w:p>
    <w:p w14:paraId="0E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5. Составление акта о вручении обеспечивает лицо, ответственное за вручение подарков (сувенирной продукции), или лицо, ответственное за организацию протокольного (торжественного) мероприятия.</w:t>
      </w:r>
    </w:p>
    <w:p w14:paraId="0F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 Акт о вручении подписывают члены постоянно действующей Комиссии по поступлению и выбытию активов.</w:t>
      </w:r>
    </w:p>
    <w:p w14:paraId="10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7. Если при вручении подарков отсутствует возможность подписания акта лицами, не являющимися сотрудниками Палаты, допускается оформить акт о вручении без их подписей.</w:t>
      </w:r>
    </w:p>
    <w:p w14:paraId="11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8. Акт о вручении представляется в финансовый отдел не позднее первого рабочего дня, следующего за днем вручения ценных подарков (сувенирной продукции).</w:t>
      </w:r>
    </w:p>
    <w:p w14:paraId="12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9. Если ценные подарки (сувенирная продукция), иные материальные ценности, предназначенные для награждения (вручения), не поступают на хранение, а сразу вручаются, то применяется следующий порядок учета:</w:t>
      </w:r>
    </w:p>
    <w:p w14:paraId="13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при предоставлении ответственными лицами документов, подтверждающих приобретение и вручение, в учете одновременно отражается поступление и выбытие материальных ценностей на балансовых счетах;</w:t>
      </w:r>
    </w:p>
    <w:p w14:paraId="14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sz w:val="28"/>
        </w:rPr>
        <w:t>на забалансовом</w:t>
      </w:r>
      <w:r>
        <w:rPr>
          <w:rStyle w:val="Style_4_ch"/>
          <w:sz w:val="28"/>
        </w:rPr>
        <w:t> 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"consultantplus://offline/ref=9D8161AA42813FF2C5CEF20345109A18045E915A4D486592BF0D91A3DD55F1698951AD87C989255BD5FAE892C3049C654393C4422B6702763792395C7D2EDDCADF98121AE86349BA23E826402AC30ABA92EEdAR9M" \o "Ссылка на КонсультантПлюс"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счете 07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rStyle w:val="Style_4_ch"/>
          <w:sz w:val="28"/>
        </w:rPr>
        <w:t> «</w:t>
      </w:r>
      <w:r>
        <w:rPr>
          <w:sz w:val="28"/>
        </w:rPr>
        <w:t>Награды, призы, кубки и ценные подарки, сувениры</w:t>
      </w:r>
      <w:r>
        <w:rPr>
          <w:sz w:val="28"/>
        </w:rPr>
        <w:t>»</w:t>
      </w:r>
      <w:r>
        <w:rPr>
          <w:color w:val="000000"/>
          <w:sz w:val="28"/>
        </w:rPr>
        <w:t xml:space="preserve"> информация не отражается.</w:t>
      </w:r>
    </w:p>
    <w:p w14:paraId="15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10. Если ценные подарки (сувенирная продукция), иные материальные ценности для проведения торжественных и протокольных мероприятий выдаются из мест хранения, то применяется следующий порядок учета:</w:t>
      </w:r>
    </w:p>
    <w:p w14:paraId="16000000">
      <w:pPr>
        <w:pStyle w:val="Style_3"/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поступление материальных ценностей в места хранения отражается в учете на балансовых счетах в общем порядке;</w:t>
      </w:r>
    </w:p>
    <w:p w14:paraId="17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при выдаче материальных ценностей ответственному лицу для вручения информация об их выдаче ответственному лицу отражается на </w:t>
      </w:r>
      <w:r>
        <w:rPr>
          <w:sz w:val="28"/>
        </w:rPr>
        <w:t>забалансовом</w:t>
      </w:r>
      <w:r>
        <w:rPr>
          <w:rStyle w:val="Style_4_ch"/>
          <w:sz w:val="28"/>
        </w:rPr>
        <w:t> 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"consultantplus://offline/ref=9D8161AA42813FF2C5CEF20345109A18045E915A4D486592BF0D91A3DD55F1698951AD87C989255BD5FAE892C3049C654393C4422B6702763792395C7D2EDDCADF98121AE86349BA23E826402AC30ABA92EEdAR9M" \o "Ссылка на КонсультантПлюс"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счете 07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rStyle w:val="Style_4_ch"/>
          <w:sz w:val="28"/>
        </w:rPr>
        <w:t> «</w:t>
      </w:r>
      <w:r>
        <w:rPr>
          <w:sz w:val="28"/>
        </w:rPr>
        <w:t>Награды, призы, кубки и ценные подарки, сувениры</w:t>
      </w:r>
      <w:r>
        <w:rPr>
          <w:sz w:val="28"/>
        </w:rPr>
        <w:t>»;</w:t>
      </w:r>
    </w:p>
    <w:p w14:paraId="18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color w:val="000000"/>
          <w:sz w:val="28"/>
        </w:rPr>
        <w:t>по факту документального подтверждения вручения подарков (сувенирной продукции) их стоимость списывается на расходы текущего</w:t>
      </w:r>
      <w:r>
        <w:rPr>
          <w:color w:val="000000"/>
          <w:sz w:val="28"/>
        </w:rPr>
        <w:t xml:space="preserve"> финансового периода с одновременным списанием и с забалансового</w:t>
      </w:r>
      <w:r>
        <w:rPr>
          <w:rStyle w:val="Style_4_ch"/>
          <w:color w:val="000000"/>
          <w:sz w:val="28"/>
        </w:rPr>
        <w:t> </w:t>
      </w:r>
      <w:r>
        <w:rPr>
          <w:rStyle w:val="Style_5_ch"/>
          <w:color w:val="000000"/>
          <w:sz w:val="28"/>
          <w:u w:val="none"/>
        </w:rPr>
        <w:fldChar w:fldCharType="begin"/>
      </w:r>
      <w:r>
        <w:rPr>
          <w:rStyle w:val="Style_5_ch"/>
          <w:color w:val="000000"/>
          <w:sz w:val="28"/>
          <w:u w:val="none"/>
        </w:rPr>
        <w:instrText>HYPERLINK "consultantplus://offline/ref=9D8161AA42813FF2C5CEF20345109A18045E915A4D486592BF0D91A3DD55F1698951AD87C989255BD5FAE892C3049C654393C4422B6702763792395C7D2EDDCADF98121AE86349BA23E826402AC30ABA92EEdAR9M" \o "Ссылка на КонсультантПлюс"</w:instrText>
      </w:r>
      <w:r>
        <w:rPr>
          <w:rStyle w:val="Style_5_ch"/>
          <w:color w:val="000000"/>
          <w:sz w:val="28"/>
          <w:u w:val="none"/>
        </w:rPr>
        <w:fldChar w:fldCharType="separate"/>
      </w:r>
      <w:r>
        <w:rPr>
          <w:rStyle w:val="Style_5_ch"/>
          <w:color w:val="000000"/>
          <w:sz w:val="28"/>
          <w:u w:val="none"/>
        </w:rPr>
        <w:t>счета 07</w:t>
      </w:r>
      <w:r>
        <w:rPr>
          <w:rStyle w:val="Style_5_ch"/>
          <w:color w:val="000000"/>
          <w:sz w:val="28"/>
          <w:u w:val="none"/>
        </w:rPr>
        <w:fldChar w:fldCharType="end"/>
      </w:r>
      <w:r>
        <w:rPr>
          <w:rStyle w:val="Style_4_ch"/>
          <w:sz w:val="28"/>
        </w:rPr>
        <w:t> </w:t>
      </w:r>
      <w:r>
        <w:rPr>
          <w:sz w:val="28"/>
        </w:rPr>
        <w:t>«</w:t>
      </w:r>
      <w:r>
        <w:rPr>
          <w:sz w:val="28"/>
        </w:rPr>
        <w:t>Награды, призы, кубки и ценные подарки, сувениры</w:t>
      </w:r>
      <w:r>
        <w:rPr>
          <w:sz w:val="28"/>
        </w:rPr>
        <w:t>».</w:t>
      </w:r>
    </w:p>
    <w:p w14:paraId="19000000">
      <w:pPr>
        <w:pStyle w:val="Style_3"/>
        <w:spacing w:after="0" w:before="0" w:line="240" w:lineRule="exact"/>
        <w:ind/>
        <w:jc w:val="both"/>
        <w:rPr>
          <w:sz w:val="28"/>
        </w:rPr>
      </w:pPr>
    </w:p>
    <w:p w14:paraId="1A000000">
      <w:pPr>
        <w:pStyle w:val="Style_3"/>
        <w:spacing w:after="0" w:before="0" w:line="240" w:lineRule="exact"/>
        <w:ind/>
        <w:jc w:val="both"/>
        <w:rPr>
          <w:sz w:val="28"/>
        </w:rPr>
      </w:pPr>
    </w:p>
    <w:p w14:paraId="1B000000">
      <w:pPr>
        <w:pStyle w:val="Style_3"/>
        <w:spacing w:after="0" w:before="0" w:line="240" w:lineRule="exact"/>
        <w:ind/>
        <w:jc w:val="both"/>
        <w:rPr>
          <w:sz w:val="28"/>
        </w:rPr>
      </w:pPr>
    </w:p>
    <w:p w14:paraId="1C000000">
      <w:pPr>
        <w:pStyle w:val="Style_3"/>
        <w:spacing w:after="0" w:before="0" w:line="240" w:lineRule="exact"/>
        <w:ind/>
        <w:jc w:val="both"/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И.В. Исаева</w:t>
      </w:r>
    </w:p>
    <w:p w14:paraId="1D000000">
      <w:pPr>
        <w:spacing w:after="0" w:line="240" w:lineRule="auto"/>
        <w:ind w:firstLine="709"/>
        <w:rPr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start="9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ConsPlusNormal"/>
    <w:link w:val="Style_2"/>
    <w:rPr>
      <w:rFonts w:ascii="Times New Roman" w:hAnsi="Times New Roman"/>
      <w:sz w:val="24"/>
    </w:rPr>
  </w:style>
  <w:style w:styleId="Style_4" w:type="paragraph">
    <w:name w:val="apple-converted-space"/>
    <w:basedOn w:val="Style_13"/>
    <w:link w:val="Style_4_ch"/>
  </w:style>
  <w:style w:styleId="Style_4_ch" w:type="character">
    <w:name w:val="apple-converted-space"/>
    <w:basedOn w:val="Style_13_ch"/>
    <w:link w:val="Style_4"/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5" w:type="paragraph">
    <w:name w:val="heading 5"/>
    <w:next w:val="Style_6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6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footer"/>
    <w:basedOn w:val="Style_6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6_ch"/>
    <w:link w:val="Style_17"/>
  </w:style>
  <w:style w:styleId="Style_5" w:type="paragraph">
    <w:name w:val="Hyperlink"/>
    <w:basedOn w:val="Style_13"/>
    <w:link w:val="Style_5_ch"/>
    <w:rPr>
      <w:color w:val="0000FF"/>
      <w:u w:val="single"/>
    </w:rPr>
  </w:style>
  <w:style w:styleId="Style_5_ch" w:type="character">
    <w:name w:val="Hyperlink"/>
    <w:basedOn w:val="Style_13_ch"/>
    <w:link w:val="Style_5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6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3" w:type="paragraph">
    <w:name w:val="Normal (Web)"/>
    <w:basedOn w:val="Style_6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Normal (Web)"/>
    <w:basedOn w:val="Style_6_ch"/>
    <w:link w:val="Style_3"/>
    <w:rPr>
      <w:rFonts w:ascii="Times New Roman" w:hAnsi="Times New Roman"/>
      <w:sz w:val="24"/>
    </w:rPr>
  </w:style>
  <w:style w:styleId="Style_22" w:type="paragraph">
    <w:name w:val="toc 8"/>
    <w:next w:val="Style_6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6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6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6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6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6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2025-12-19T16:25:22Z</dcterms:modified>
</cp:coreProperties>
</file>