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b w:val="0"/>
          <w:bCs w:val="0"/>
          <w:sz w:val="28"/>
          <w:szCs w:val="28"/>
          <w:highlight w:val="none"/>
        </w:rPr>
      </w:pPr>
      <w:r>
        <w:rPr>
          <w:rFonts w:ascii="XO Thames" w:hAnsi="XO Thames"/>
          <w:b w:val="0"/>
          <w:bCs w:val="0"/>
          <w:sz w:val="28"/>
          <w:szCs w:val="28"/>
        </w:rPr>
        <w:t xml:space="preserve">Приложение № 1</w:t>
      </w:r>
      <w:r>
        <w:rPr>
          <w:rFonts w:ascii="XO Thames" w:hAnsi="XO Thames"/>
          <w:b w:val="0"/>
          <w:bCs w:val="0"/>
          <w:sz w:val="28"/>
          <w:szCs w:val="28"/>
        </w:rPr>
      </w:r>
      <w:r>
        <w:rPr>
          <w:rFonts w:ascii="XO Thames" w:hAnsi="XO Thames"/>
          <w:b w:val="0"/>
          <w:bCs w:val="0"/>
          <w:sz w:val="28"/>
          <w:szCs w:val="28"/>
          <w:highlight w:val="none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b w:val="0"/>
          <w:bCs w:val="0"/>
          <w:sz w:val="28"/>
          <w:szCs w:val="28"/>
          <w:highlight w:val="none"/>
        </w:rPr>
      </w:pPr>
      <w:r>
        <w:rPr>
          <w:rFonts w:ascii="XO Thames" w:hAnsi="XO Thames"/>
          <w:b w:val="0"/>
          <w:bCs w:val="0"/>
          <w:sz w:val="28"/>
          <w:szCs w:val="28"/>
          <w:highlight w:val="none"/>
        </w:rPr>
        <w:t xml:space="preserve">к приказу</w:t>
      </w:r>
      <w:r>
        <w:rPr>
          <w:rFonts w:ascii="XO Thames" w:hAnsi="XO Thames"/>
          <w:b w:val="0"/>
          <w:bCs w:val="0"/>
          <w:sz w:val="28"/>
          <w:szCs w:val="28"/>
        </w:rPr>
      </w:r>
      <w:r>
        <w:rPr>
          <w:rFonts w:ascii="XO Thames" w:hAnsi="XO Thames"/>
          <w:b w:val="0"/>
          <w:bCs w:val="0"/>
          <w:sz w:val="28"/>
          <w:szCs w:val="28"/>
          <w:highlight w:val="none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b w:val="0"/>
          <w:bCs w:val="0"/>
          <w:sz w:val="28"/>
          <w:szCs w:val="28"/>
          <w:highlight w:val="none"/>
        </w:rPr>
      </w:pPr>
      <w:r>
        <w:rPr>
          <w:rFonts w:ascii="XO Thames" w:hAnsi="XO Thames"/>
          <w:b w:val="0"/>
          <w:bCs w:val="0"/>
          <w:sz w:val="28"/>
          <w:szCs w:val="28"/>
          <w:highlight w:val="none"/>
        </w:rPr>
        <w:t xml:space="preserve">Контрольно-счетной палаты</w:t>
      </w:r>
      <w:r>
        <w:rPr>
          <w:rFonts w:ascii="XO Thames" w:hAnsi="XO Thames"/>
          <w:b w:val="0"/>
          <w:bCs w:val="0"/>
          <w:sz w:val="28"/>
          <w:szCs w:val="28"/>
        </w:rPr>
      </w:r>
      <w:r>
        <w:rPr>
          <w:rFonts w:ascii="XO Thames" w:hAnsi="XO Thames"/>
          <w:b w:val="0"/>
          <w:bCs w:val="0"/>
          <w:sz w:val="28"/>
          <w:szCs w:val="28"/>
          <w:highlight w:val="none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b w:val="0"/>
          <w:bCs w:val="0"/>
          <w:sz w:val="28"/>
          <w:szCs w:val="28"/>
          <w:highlight w:val="none"/>
        </w:rPr>
      </w:pPr>
      <w:r>
        <w:rPr>
          <w:rFonts w:ascii="XO Thames" w:hAnsi="XO Thames"/>
          <w:b w:val="0"/>
          <w:bCs w:val="0"/>
          <w:sz w:val="28"/>
          <w:szCs w:val="28"/>
          <w:highlight w:val="none"/>
        </w:rPr>
        <w:t xml:space="preserve">Краснодарского края</w:t>
      </w:r>
      <w:r>
        <w:rPr>
          <w:rFonts w:ascii="XO Thames" w:hAnsi="XO Thames"/>
          <w:b w:val="0"/>
          <w:bCs w:val="0"/>
          <w:sz w:val="28"/>
          <w:szCs w:val="28"/>
        </w:rPr>
      </w:r>
      <w:r>
        <w:rPr>
          <w:rFonts w:ascii="XO Thames" w:hAnsi="XO Thames"/>
          <w:b w:val="0"/>
          <w:bCs w:val="0"/>
          <w:sz w:val="28"/>
          <w:szCs w:val="28"/>
          <w:highlight w:val="none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от «</w:t>
      </w:r>
      <w:r>
        <w:rPr>
          <w:rFonts w:ascii="XO Thames" w:hAnsi="XO Thames" w:cs="Times New Roman"/>
          <w:sz w:val="28"/>
          <w:szCs w:val="28"/>
        </w:rPr>
        <w:t xml:space="preserve">___»_______</w:t>
      </w:r>
      <w:r>
        <w:rPr>
          <w:rFonts w:ascii="XO Thames" w:hAnsi="XO Thames" w:cs="Times New Roman"/>
          <w:sz w:val="28"/>
          <w:szCs w:val="28"/>
        </w:rPr>
        <w:t xml:space="preserve">20</w:t>
      </w:r>
      <w:r>
        <w:rPr>
          <w:rFonts w:ascii="XO Thames" w:hAnsi="XO Thames" w:cs="Times New Roman"/>
          <w:sz w:val="28"/>
          <w:szCs w:val="28"/>
        </w:rPr>
        <w:t xml:space="preserve">___</w:t>
      </w:r>
      <w:r>
        <w:rPr>
          <w:rFonts w:ascii="XO Thames" w:hAnsi="XO Thames" w:cs="Times New Roman"/>
          <w:sz w:val="28"/>
          <w:szCs w:val="28"/>
        </w:rPr>
        <w:t xml:space="preserve"> г. </w:t>
      </w:r>
      <w:r>
        <w:rPr>
          <w:rFonts w:ascii="XO Thames" w:hAnsi="XO Thames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№ </w:t>
      </w:r>
      <w:r>
        <w:rPr>
          <w:rFonts w:ascii="XO Thames" w:hAnsi="XO Thames" w:cs="Times New Roman"/>
          <w:sz w:val="28"/>
          <w:szCs w:val="28"/>
        </w:rPr>
        <w:t xml:space="preserve">______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b w:val="0"/>
          <w:bCs w:val="0"/>
          <w:sz w:val="28"/>
          <w:szCs w:val="28"/>
        </w:rPr>
      </w:pPr>
      <w:r>
        <w:rPr>
          <w:rFonts w:ascii="XO Thames" w:hAnsi="XO Thames" w:cs="Times New Roman"/>
          <w:b w:val="0"/>
          <w:bCs w:val="0"/>
          <w:sz w:val="28"/>
          <w:szCs w:val="28"/>
          <w:highlight w:val="none"/>
        </w:rPr>
      </w:r>
      <w:r>
        <w:rPr>
          <w:rFonts w:ascii="XO Thames" w:hAnsi="XO Thames" w:cs="Times New Roman"/>
          <w:b w:val="0"/>
          <w:bCs w:val="0"/>
          <w:sz w:val="28"/>
          <w:szCs w:val="28"/>
          <w:highlight w:val="none"/>
        </w:rPr>
      </w:r>
      <w:r>
        <w:rPr>
          <w:rFonts w:ascii="XO Thames" w:hAnsi="XO Thames"/>
          <w:b w:val="0"/>
          <w:bCs w:val="0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 w:cs="Times New Roman"/>
          <w:b w:val="0"/>
          <w:bCs w:val="0"/>
          <w:sz w:val="28"/>
          <w:szCs w:val="28"/>
          <w:highlight w:val="none"/>
        </w:rPr>
      </w:pPr>
      <w:r>
        <w:rPr>
          <w:rFonts w:ascii="XO Thames" w:hAnsi="XO Thames" w:cs="Times New Roman"/>
          <w:b w:val="0"/>
          <w:bCs w:val="0"/>
          <w:sz w:val="28"/>
          <w:szCs w:val="28"/>
        </w:rPr>
        <w:t xml:space="preserve">            </w:t>
      </w:r>
      <w:r>
        <w:rPr>
          <w:rFonts w:ascii="XO Thames" w:hAnsi="XO Thames" w:cs="Times New Roman"/>
          <w:b w:val="0"/>
          <w:bCs w:val="0"/>
          <w:sz w:val="28"/>
          <w:szCs w:val="28"/>
        </w:rPr>
        <w:t xml:space="preserve">УТВЕРЖДЕН</w:t>
      </w:r>
      <w:r>
        <w:rPr>
          <w:rFonts w:ascii="XO Thames" w:hAnsi="XO Thames"/>
          <w:b w:val="0"/>
          <w:bCs w:val="0"/>
          <w:sz w:val="28"/>
          <w:szCs w:val="28"/>
        </w:rPr>
      </w:r>
      <w:r>
        <w:rPr>
          <w:rFonts w:ascii="XO Thames" w:hAnsi="XO Thames" w:cs="Times New Roman"/>
          <w:b w:val="0"/>
          <w:bCs w:val="0"/>
          <w:sz w:val="28"/>
          <w:szCs w:val="28"/>
          <w:highlight w:val="none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приказом 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Контрольно-счетной палаты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Краснодарского края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от «</w:t>
      </w:r>
      <w:r>
        <w:rPr>
          <w:rFonts w:ascii="XO Thames" w:hAnsi="XO Thames" w:cs="Times New Roman"/>
          <w:sz w:val="28"/>
          <w:szCs w:val="28"/>
        </w:rPr>
        <w:t xml:space="preserve">___»_______</w:t>
      </w:r>
      <w:r>
        <w:rPr>
          <w:rFonts w:ascii="XO Thames" w:hAnsi="XO Thames" w:cs="Times New Roman"/>
          <w:sz w:val="28"/>
          <w:szCs w:val="28"/>
        </w:rPr>
        <w:t xml:space="preserve">20</w:t>
      </w:r>
      <w:r>
        <w:rPr>
          <w:rFonts w:ascii="XO Thames" w:hAnsi="XO Thames" w:cs="Times New Roman"/>
          <w:sz w:val="28"/>
          <w:szCs w:val="28"/>
        </w:rPr>
        <w:t xml:space="preserve">___</w:t>
      </w:r>
      <w:r>
        <w:rPr>
          <w:rFonts w:ascii="XO Thames" w:hAnsi="XO Thames" w:cs="Times New Roman"/>
          <w:sz w:val="28"/>
          <w:szCs w:val="28"/>
        </w:rPr>
        <w:t xml:space="preserve"> г. 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widowControl w:val="true"/>
        <w:pBdr/>
        <w:bidi w:val="false"/>
        <w:spacing w:after="0" w:before="0" w:line="240" w:lineRule="auto"/>
        <w:ind w:right="0" w:firstLine="566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№ </w:t>
      </w:r>
      <w:r>
        <w:rPr>
          <w:rFonts w:ascii="XO Thames" w:hAnsi="XO Thames" w:cs="Times New Roman"/>
          <w:sz w:val="28"/>
          <w:szCs w:val="28"/>
        </w:rPr>
        <w:t xml:space="preserve">______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pBdr/>
        <w:spacing/>
        <w:ind w:firstLine="4678"/>
        <w:jc w:val="center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24"/>
        <w:pBdr/>
        <w:spacing/>
        <w:ind w:firstLine="4678"/>
        <w:jc w:val="center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24"/>
        <w:pBdr/>
        <w:spacing/>
        <w:ind/>
        <w:jc w:val="center"/>
        <w:rPr>
          <w:rFonts w:ascii="XO Thames" w:hAnsi="XO Thames"/>
          <w:b w:val="0"/>
          <w:bCs w:val="0"/>
          <w:sz w:val="28"/>
          <w:szCs w:val="28"/>
        </w:rPr>
      </w:pPr>
      <w:r>
        <w:rPr>
          <w:rFonts w:ascii="XO Thames" w:hAnsi="XO Thames" w:cs="Times New Roman"/>
          <w:b/>
          <w:bCs/>
          <w:sz w:val="28"/>
          <w:szCs w:val="28"/>
        </w:rPr>
        <w:t xml:space="preserve">Порядок</w:t>
      </w:r>
      <w:r>
        <w:rPr>
          <w:rFonts w:ascii="XO Thames" w:hAnsi="XO Thames"/>
          <w:b w:val="0"/>
          <w:bCs w:val="0"/>
          <w:sz w:val="28"/>
          <w:szCs w:val="28"/>
        </w:rPr>
      </w:r>
      <w:r>
        <w:rPr>
          <w:rFonts w:ascii="XO Thames" w:hAnsi="XO Thames"/>
          <w:b w:val="0"/>
          <w:bCs w:val="0"/>
          <w:sz w:val="28"/>
          <w:szCs w:val="28"/>
        </w:rPr>
      </w:r>
    </w:p>
    <w:p>
      <w:pPr>
        <w:pStyle w:val="924"/>
        <w:pBdr/>
        <w:spacing/>
        <w:ind/>
        <w:jc w:val="center"/>
        <w:rPr>
          <w:rFonts w:ascii="XO Thames" w:hAnsi="XO Thames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  <w:t xml:space="preserve">работы конкурсной комиссии для проведения конкурсов на замещение вакантных должностей государственной гражданской службы Краснодарского края и включение в кадровый резерв</w:t>
        <w:br/>
      </w:r>
      <w:r>
        <w:rPr>
          <w:rFonts w:ascii="XO Thames" w:hAnsi="XO Thames" w:cs="Times New Roman"/>
          <w:sz w:val="28"/>
          <w:szCs w:val="28"/>
        </w:rPr>
        <w:t xml:space="preserve">Контрольно-счетной палаты Краснодарского края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pBdr/>
        <w:spacing/>
        <w:ind/>
        <w:jc w:val="center"/>
        <w:rPr>
          <w:rFonts w:ascii="XO Thames" w:hAnsi="XO Thames" w:cs="Times New Roman"/>
          <w:sz w:val="28"/>
          <w:szCs w:val="28"/>
        </w:rPr>
      </w:pP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  <w:r>
        <w:rPr>
          <w:rFonts w:ascii="XO Thames" w:hAnsi="XO Thames" w:cs="Times New Roman"/>
          <w:sz w:val="28"/>
          <w:szCs w:val="28"/>
        </w:rPr>
      </w:r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>
          <w:rFonts w:eastAsia="Times New Roman" w:cs="Times New Roman"/>
        </w:rPr>
      </w:pPr>
      <w:r>
        <w:rPr>
          <w:rFonts w:ascii="XO Thames" w:hAnsi="XO Thames" w:eastAsia="Times New Roman" w:cs="Times New Roman"/>
          <w:sz w:val="28"/>
          <w:szCs w:val="28"/>
        </w:rPr>
        <w:t xml:space="preserve">Конкурсная комиссия для проведения конкурсов на замещение вакантных должностей государственной гражданской службы Краснодарского кр</w:t>
      </w:r>
      <w:r>
        <w:rPr>
          <w:rFonts w:ascii="XO Thames" w:hAnsi="XO Thames" w:eastAsia="Times New Roman" w:cs="Times New Roman"/>
          <w:sz w:val="28"/>
          <w:szCs w:val="28"/>
        </w:rPr>
        <w:t xml:space="preserve">ая и включение в кад</w:t>
      </w:r>
      <w:r>
        <w:rPr>
          <w:rFonts w:ascii="XO Thames" w:hAnsi="XO Thames" w:eastAsia="Times New Roman" w:cs="Times New Roman"/>
          <w:sz w:val="28"/>
          <w:szCs w:val="28"/>
        </w:rPr>
        <w:t xml:space="preserve">ровый резерв</w:t>
        <w:br/>
        <w:t xml:space="preserve">Контрольно-счетной палаты Краснодарского края (далее – конкурсная комиссия) является коллегиальным органом, образуется приказом Контрольно-счетной палаты Краснодарского края</w:t>
        <w:br/>
        <w:t xml:space="preserve">(далее – Контрольно-счетная палата) и действует на постоянной основе.</w:t>
      </w:r>
      <w:r>
        <w:rPr>
          <w:rFonts w:eastAsia="Times New Roman" w:cs="Times New Roman"/>
        </w:rPr>
      </w:r>
      <w:r>
        <w:rPr>
          <w:rFonts w:eastAsia="Times New Roman" w:cs="Times New Roman"/>
        </w:rPr>
      </w:r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eastAsia="Times New Roman" w:cs="Times New Roman"/>
          <w:sz w:val="28"/>
          <w:szCs w:val="28"/>
        </w:rPr>
        <w:t xml:space="preserve">Конкурсная комиссия в своей деятельности руководствуется</w:t>
        <w:br/>
        <w:t xml:space="preserve">Конституцией Р</w:t>
      </w:r>
      <w:r>
        <w:rPr>
          <w:rFonts w:ascii="XO Thames" w:hAnsi="XO Thames" w:eastAsia="Times New Roman" w:cs="Times New Roman"/>
          <w:sz w:val="28"/>
          <w:szCs w:val="28"/>
        </w:rPr>
        <w:t xml:space="preserve">оссийской Федерации, Федеральным законом от 27 июля</w:t>
        <w:br/>
        <w:t xml:space="preserve">2004 г. № 79-ФЗ «О государственной гражданской службе Российской</w:t>
        <w:br/>
        <w:t xml:space="preserve">Федерации», другими федеральными законами, Указом Президента Российской Федерации от 1 февраля 2005 г. № 112 «О конкурсе на замещение в</w:t>
      </w:r>
      <w:r>
        <w:rPr>
          <w:rFonts w:ascii="XO Thames" w:hAnsi="XO Thames" w:eastAsia="Times New Roman" w:cs="Times New Roman"/>
          <w:sz w:val="28"/>
          <w:szCs w:val="28"/>
        </w:rPr>
        <w:t xml:space="preserve">акантной должности государственной гражданской службы Российской Федерации», постановлением Правительства Российской Федерации от 31 марта 2018 г. № 397 «Об утверждении единой методики</w:t>
        <w:br/>
        <w:t xml:space="preserve">проведения конкурса на замещение вакантных должностей государственной</w:t>
      </w:r>
      <w:r>
        <w:rPr>
          <w:rFonts w:ascii="XO Thames" w:hAnsi="XO Thames" w:cs="Times New Roman"/>
          <w:sz w:val="28"/>
          <w:szCs w:val="28"/>
        </w:rPr>
        <w:t xml:space="preserve"> </w:t>
      </w:r>
      <w:r>
        <w:rPr>
          <w:rFonts w:ascii="XO Thames" w:hAnsi="XO Thames" w:eastAsia="Times New Roman" w:cs="Times New Roman"/>
          <w:sz w:val="28"/>
          <w:szCs w:val="28"/>
        </w:rPr>
        <w:t xml:space="preserve">гражданской службы Российской Федерации и включение в кадровый резерв государственных органов», иными нормативными правовыми актами Президента Российской Федерации и Правительства </w:t>
      </w:r>
      <w:r>
        <w:rPr>
          <w:rFonts w:ascii="XO Thames" w:hAnsi="XO Thames" w:eastAsia="Times New Roman" w:cs="Times New Roman"/>
          <w:spacing w:val="-1"/>
          <w:sz w:val="28"/>
          <w:szCs w:val="28"/>
        </w:rPr>
        <w:t xml:space="preserve">Российской Федерации, а также м</w:t>
      </w:r>
      <w:r>
        <w:rPr>
          <w:rFonts w:ascii="XO Thames" w:hAnsi="XO Thames" w:cs="Times New Roman"/>
          <w:sz w:val="28"/>
          <w:szCs w:val="28"/>
        </w:rPr>
        <w:t xml:space="preserve">етодикой проведения конкурсов на замещение вакантных должностей государственной гражданской службы Краснодарского края и включение в кадровый резерв Контрольно-счетной палаты Краснодарского края, утверждаемой приказом Контрольно-счетной палаты</w:t>
      </w:r>
      <w:r>
        <w:rPr>
          <w:rFonts w:ascii="XO Thames" w:hAnsi="XO Thames" w:eastAsia="Times New Roman" w:cs="Times New Roman"/>
          <w:sz w:val="28"/>
          <w:szCs w:val="28"/>
        </w:rPr>
        <w:t xml:space="preserve"> (далее – методика).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Конкурсная комиссия состоит из председателя, заместителя председателя, секретаря и членов комиссии. В состав конкурсной комиссии входят председатель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 Контрольно-счетной палаты и (или) уполномоченные им лица, замещающие государственные должности Краснодарского края в Контрольно-счетной палате, лица, замещающие должности государственной гражданской службы Краснодарского края в Контрольно-счетной палате,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а также специалисты в соответствующих областях и видах профессиональной служебной деятельности государственных гражданских служащих по вопросам кадровых технологий и гражданской службы, приглашаемые и отбираемые в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соответствии с законодательством Российской Федерации и Краснодарского края в качестве независимых экспертов. Число независимых экспертов должно составлять не менее одной четверти от общего числа членов конкурсной комиссии.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708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Состав конкурсной комиссии формир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уется таким образом, чтобы была исключена возможность возникновения конфликта интересов, который мог бы повлиять на принимаемые конкурсной комиссией решения.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pBdr/>
        <w:spacing/>
        <w:ind w:firstLine="708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бщий срок пребывания независимого эксперта в конкурсной комиссии не может превышать три года. Исчисление указанного срока осуществляется со дня первого включения независимого эксперта в состав конкурсной комиссии. Повторное включение независимого эксперта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в состав конкурсной комиссии может быть осуществлено не ранее чем через три года после окончания срока пребывания в конкурсной комиссии.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П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редседатель конкурсной комиссии осуществляет руководство деятельностью конкурсной комиссии, а также является ответственным за организацию проведения конкурса. В период временного отсутствия председателя конкурсной комиссии (временная нетрудоспособность, сл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ужебная командировка, ежегодный оплачиваемый отпуск и другое) руководство конкурсной комиссией осуществляет заместитель председателя конкурсной комиссии.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Организационно-техническое обеспечение деятельности конкурсной комиссии осуществляет отдел государственной службы, кадровой работы и противодействия коррупции Контрольно-счетной палаты.</w:t>
      </w:r>
      <w:r>
        <w:rPr>
          <w:rFonts w:ascii="XO Thames" w:hAnsi="XO Thames"/>
          <w:sz w:val="28"/>
          <w:szCs w:val="28"/>
        </w:rPr>
      </w:r>
      <w:r>
        <w:rPr>
          <w:rFonts w:ascii="XO Thames" w:hAnsi="XO Thames"/>
          <w:sz w:val="28"/>
          <w:szCs w:val="28"/>
        </w:rPr>
      </w:r>
    </w:p>
    <w:p>
      <w:pPr>
        <w:pStyle w:val="924"/>
        <w:pBdr/>
        <w:spacing/>
        <w:ind w:firstLine="708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Секретарь конкурсной комиссии по поручению председателя конкурсной комиссии подписывает от его имени документы, связанные с обеспечением работы конкурсной комиссии.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pBdr/>
        <w:spacing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Секретарь конкурсной комиссии не обладает правом голоса при принятии конкурсной комиссией решений.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Конкурсная комиссия имеет право: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pBdr/>
        <w:spacing/>
        <w:ind w:firstLine="708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запрашивать у руководителей структурных подразделений Контрольно-счетной палаты сведения и материалы, необходимые для работы конкурсной комиссии;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pBdr/>
        <w:spacing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вносить председателю конкурсной комиссии предложения по вопросам, относящимся к компетенции конкурсной комиссии.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708" w:left="0"/>
        <w:jc w:val="both"/>
        <w:rPr/>
      </w:pPr>
      <w:r/>
      <w:r/>
    </w:p>
    <w:p>
      <w:pPr>
        <w:pStyle w:val="924"/>
        <w:pBdr/>
        <w:spacing/>
        <w:ind w:firstLine="708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right="0"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Конкурсная комиссия проводит конкурсы: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pBdr/>
        <w:spacing/>
        <w:ind w:firstLine="708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на замещение вакантных должностей государственной гражданской службы Краснодарского края в Контрольно-счетной палате (далее –  гражданская служба);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pBdr/>
        <w:spacing/>
        <w:ind w:firstLine="708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для формирования кадрового резерва Контрольно-счетной палаты.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Заседание конкурсной комиссии проводится по мере необходимости на основании приказа Контрольно-счетной палаты о проведении конкурса при наличии не менее двух кандидатов на замещение вакантной должности гражданской службы или на включение в кадров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ый резерв</w:t>
        <w:br/>
        <w:t xml:space="preserve">Контрольно-счетной палаты.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Заседание конкурсной комиссии считается правомочным, если на нем присутствует не менее двух третей от общего числа ее членов.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Проведение заседания конкурсной комиссии с участием только ее членов, замещающих государственные должности Краснодарского края и  должности гражданской службы, не допускается.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Реше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ние конкурсной комиссии принимается открытым голосованием простым большинством голосов ее членов, присутствующих на заседании. 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708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При голосовании мнение членов конкурсной комиссии выражается словами «за», «против» или «воздержался». При равенстве голосов решаю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щим является голос председательствующего на заседании конкурсной комиссии.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Решение принимается в отсутствие кандидата и является основанием для назначения его на вакантную должность гражданской службы либо отказа в таком назначении.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Конкурсная комиссия вправе также принять решение, имеющее рекомендательный характер, о включении в кадровый резерв</w:t>
        <w:br/>
        <w:t xml:space="preserve">Контрольно-счетной палаты кандидата (кандидатов), который не стал победителем конкурса на замещение вакантной должности государств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енной гражданской службы, но профессиональные и личностные качества которого получили высокую оценку конкурсной комиссии.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Конкурсная комиссия по результатам конкурса для формирования кадрового резерва Контрольно-счетной палаты вправе принять решение о признании победителями конкурса нескольких кандидатов, профессиональные и личностные качества которых получили высо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кую оценку конкурсной комиссии.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numPr>
          <w:ilvl w:val="0"/>
          <w:numId w:val="1"/>
        </w:numPr>
        <w:pBdr/>
        <w:spacing/>
        <w:ind w:firstLine="709" w:left="0"/>
        <w:jc w:val="both"/>
        <w:rPr/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и протоколом заседания конкурсной комиссии по результатам конкурса на включение в кадровый резер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в.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/>
    </w:p>
    <w:p>
      <w:pPr>
        <w:pStyle w:val="924"/>
        <w:pBdr/>
        <w:spacing/>
        <w:ind w:firstLine="0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0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0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И.о. начальника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p>
      <w:pPr>
        <w:pStyle w:val="924"/>
        <w:pBdr/>
        <w:spacing/>
        <w:ind w:firstLine="0" w:left="0"/>
        <w:jc w:val="both"/>
        <w:rPr>
          <w:rFonts w:ascii="XO Thames" w:hAnsi="XO Thames" w:eastAsia="Times New Roman" w:cs="Times New Roman"/>
          <w:sz w:val="28"/>
          <w:szCs w:val="28"/>
          <w:highlight w:val="none"/>
        </w:rPr>
      </w:pPr>
      <w:r>
        <w:rPr>
          <w:rFonts w:ascii="XO Thames" w:hAnsi="XO Thames" w:eastAsia="Times New Roman" w:cs="Times New Roman"/>
          <w:sz w:val="28"/>
          <w:szCs w:val="28"/>
          <w:highlight w:val="none"/>
        </w:rPr>
        <w:t xml:space="preserve">управления делами</w:t>
        <w:tab/>
        <w:tab/>
        <w:tab/>
        <w:tab/>
        <w:tab/>
        <w:tab/>
        <w:tab/>
        <w:t xml:space="preserve">          А.В. Пинчук</w:t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  <w:r>
        <w:rPr>
          <w:rFonts w:ascii="XO Thames" w:hAnsi="XO Thames" w:eastAsia="Times New Roman" w:cs="Times New Roman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850" w:bottom="1134" w:left="1701" w:header="708" w:footer="0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Calibri">
    <w:panose1 w:val="020F050202020403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6748063"/>
      <w:docPartObj>
        <w:docPartGallery w:val="Page Numbers (Top of Page)"/>
        <w:docPartUnique w:val="true"/>
      </w:docPartObj>
      <w:rPr/>
    </w:sdtPr>
    <w:sdtContent>
      <w:p>
        <w:pPr>
          <w:pStyle w:val="927"/>
          <w:pBdr/>
          <w:spacing/>
          <w:ind/>
          <w:jc w:val="center"/>
          <w:rPr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92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XO Thames" w:hAnsi="XO Thames" w:eastAsia="XO Thames" w:cs="XO Thames"/>
        <w:sz w:val="28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39FD7F45"/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>
        <w:b/>
        <w:bCs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tabs>
          <w:tab w:val="num" w:leader="none" w:pos="0"/>
        </w:tabs>
        <w:spacing/>
        <w:ind w:hanging="432" w:left="792"/>
      </w:pPr>
      <w:rPr>
        <w:b w:val="0"/>
      </w:rPr>
      <w:start w:val="1"/>
      <w:suff w:val="space"/>
    </w:lvl>
    <w:lvl w:ilvl="2">
      <w:isLgl w:val="false"/>
      <w:lvlJc w:val="left"/>
      <w:lvlText w:val="%1.%2.%3."/>
      <w:numFmt w:val="decimal"/>
      <w:pPr>
        <w:pBdr/>
        <w:tabs>
          <w:tab w:val="num" w:leader="none" w:pos="0"/>
        </w:tabs>
        <w:spacing/>
        <w:ind w:hanging="504" w:left="1224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tabs>
          <w:tab w:val="num" w:leader="none" w:pos="0"/>
        </w:tabs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tabs>
          <w:tab w:val="num" w:leader="none" w:pos="0"/>
        </w:tabs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tabs>
          <w:tab w:val="num" w:leader="none" w:pos="0"/>
        </w:tabs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tabs>
          <w:tab w:val="num" w:leader="none" w:pos="0"/>
        </w:tabs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tabs>
          <w:tab w:val="num" w:leader="none" w:pos="0"/>
        </w:tabs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tabs>
          <w:tab w:val="num" w:leader="none" w:pos="0"/>
        </w:tabs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XO Thames" w:hAnsi="XO Thames" w:eastAsia="XO Thames" w:cs="XO Thames"/>
        <w:sz w:val="28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5">
    <w:name w:val="Table Grid Light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1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2"/>
    <w:basedOn w:val="93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1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2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3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4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5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6"/>
    <w:basedOn w:val="9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1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2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3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4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5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6"/>
    <w:basedOn w:val="9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1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2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3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4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5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6"/>
    <w:basedOn w:val="9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0">
    <w:name w:val="Heading 1"/>
    <w:basedOn w:val="915"/>
    <w:next w:val="915"/>
    <w:link w:val="86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1">
    <w:name w:val="Heading 2"/>
    <w:basedOn w:val="915"/>
    <w:next w:val="915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2">
    <w:name w:val="Heading 3"/>
    <w:basedOn w:val="915"/>
    <w:next w:val="915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3">
    <w:name w:val="Heading 4"/>
    <w:basedOn w:val="915"/>
    <w:next w:val="915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4">
    <w:name w:val="Heading 5"/>
    <w:basedOn w:val="915"/>
    <w:next w:val="915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5">
    <w:name w:val="Heading 6"/>
    <w:basedOn w:val="915"/>
    <w:next w:val="915"/>
    <w:link w:val="87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6">
    <w:name w:val="Heading 7"/>
    <w:basedOn w:val="915"/>
    <w:next w:val="915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7">
    <w:name w:val="Heading 8"/>
    <w:basedOn w:val="915"/>
    <w:next w:val="915"/>
    <w:link w:val="87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8">
    <w:name w:val="Heading 9"/>
    <w:basedOn w:val="915"/>
    <w:next w:val="915"/>
    <w:link w:val="87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9">
    <w:name w:val="Heading 1 Char"/>
    <w:basedOn w:val="916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0">
    <w:name w:val="Heading 2 Char"/>
    <w:basedOn w:val="916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1">
    <w:name w:val="Heading 3 Char"/>
    <w:basedOn w:val="916"/>
    <w:link w:val="8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2">
    <w:name w:val="Heading 4 Char"/>
    <w:basedOn w:val="916"/>
    <w:link w:val="86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3">
    <w:name w:val="Heading 5 Char"/>
    <w:basedOn w:val="916"/>
    <w:link w:val="8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4">
    <w:name w:val="Heading 6 Char"/>
    <w:basedOn w:val="916"/>
    <w:link w:val="86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5">
    <w:name w:val="Heading 7 Char"/>
    <w:basedOn w:val="916"/>
    <w:link w:val="86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6">
    <w:name w:val="Heading 8 Char"/>
    <w:basedOn w:val="916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7">
    <w:name w:val="Heading 9 Char"/>
    <w:basedOn w:val="916"/>
    <w:link w:val="86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8">
    <w:name w:val="Title"/>
    <w:basedOn w:val="915"/>
    <w:next w:val="915"/>
    <w:link w:val="87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9">
    <w:name w:val="Title Char"/>
    <w:basedOn w:val="916"/>
    <w:link w:val="87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0">
    <w:name w:val="Subtitle"/>
    <w:basedOn w:val="915"/>
    <w:next w:val="915"/>
    <w:link w:val="88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1">
    <w:name w:val="Subtitle Char"/>
    <w:basedOn w:val="916"/>
    <w:link w:val="88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2">
    <w:name w:val="Quote"/>
    <w:basedOn w:val="915"/>
    <w:next w:val="915"/>
    <w:link w:val="88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3">
    <w:name w:val="Quote Char"/>
    <w:basedOn w:val="916"/>
    <w:link w:val="88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4">
    <w:name w:val="Intense Emphasis"/>
    <w:basedOn w:val="9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5">
    <w:name w:val="Intense Quote"/>
    <w:basedOn w:val="915"/>
    <w:next w:val="915"/>
    <w:link w:val="88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6">
    <w:name w:val="Intense Quote Char"/>
    <w:basedOn w:val="916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7">
    <w:name w:val="Intense Reference"/>
    <w:basedOn w:val="9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88">
    <w:name w:val="Subtle Emphasis"/>
    <w:basedOn w:val="9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9">
    <w:name w:val="Emphasis"/>
    <w:basedOn w:val="916"/>
    <w:uiPriority w:val="20"/>
    <w:qFormat/>
    <w:pPr>
      <w:pBdr/>
      <w:spacing/>
      <w:ind/>
    </w:pPr>
    <w:rPr>
      <w:i/>
      <w:iCs/>
    </w:rPr>
  </w:style>
  <w:style w:type="character" w:styleId="890">
    <w:name w:val="Strong"/>
    <w:basedOn w:val="916"/>
    <w:uiPriority w:val="22"/>
    <w:qFormat/>
    <w:pPr>
      <w:pBdr/>
      <w:spacing/>
      <w:ind/>
    </w:pPr>
    <w:rPr>
      <w:b/>
      <w:bCs/>
    </w:rPr>
  </w:style>
  <w:style w:type="character" w:styleId="891">
    <w:name w:val="Subtle Reference"/>
    <w:basedOn w:val="9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2">
    <w:name w:val="Book Title"/>
    <w:basedOn w:val="9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3">
    <w:name w:val="Header Char"/>
    <w:basedOn w:val="916"/>
    <w:link w:val="927"/>
    <w:uiPriority w:val="99"/>
    <w:pPr>
      <w:pBdr/>
      <w:spacing/>
      <w:ind/>
    </w:pPr>
  </w:style>
  <w:style w:type="character" w:styleId="894">
    <w:name w:val="Footer Char"/>
    <w:basedOn w:val="916"/>
    <w:link w:val="928"/>
    <w:uiPriority w:val="99"/>
    <w:pPr>
      <w:pBdr/>
      <w:spacing/>
      <w:ind/>
    </w:pPr>
  </w:style>
  <w:style w:type="paragraph" w:styleId="895">
    <w:name w:val="footnote text"/>
    <w:basedOn w:val="915"/>
    <w:link w:val="89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6">
    <w:name w:val="Footnote Text Char"/>
    <w:basedOn w:val="916"/>
    <w:link w:val="895"/>
    <w:uiPriority w:val="99"/>
    <w:semiHidden/>
    <w:pPr>
      <w:pBdr/>
      <w:spacing/>
      <w:ind/>
    </w:pPr>
    <w:rPr>
      <w:sz w:val="20"/>
      <w:szCs w:val="20"/>
    </w:rPr>
  </w:style>
  <w:style w:type="character" w:styleId="897">
    <w:name w:val="foot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paragraph" w:styleId="898">
    <w:name w:val="endnote text"/>
    <w:basedOn w:val="915"/>
    <w:link w:val="89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9">
    <w:name w:val="Endnote Text Char"/>
    <w:basedOn w:val="916"/>
    <w:link w:val="898"/>
    <w:uiPriority w:val="99"/>
    <w:semiHidden/>
    <w:pPr>
      <w:pBdr/>
      <w:spacing/>
      <w:ind/>
    </w:pPr>
    <w:rPr>
      <w:sz w:val="20"/>
      <w:szCs w:val="20"/>
    </w:rPr>
  </w:style>
  <w:style w:type="character" w:styleId="900">
    <w:name w:val="endnote reference"/>
    <w:basedOn w:val="916"/>
    <w:uiPriority w:val="99"/>
    <w:semiHidden/>
    <w:unhideWhenUsed/>
    <w:pPr>
      <w:pBdr/>
      <w:spacing/>
      <w:ind/>
    </w:pPr>
    <w:rPr>
      <w:vertAlign w:val="superscript"/>
    </w:rPr>
  </w:style>
  <w:style w:type="character" w:styleId="901">
    <w:name w:val="Hyperlink"/>
    <w:basedOn w:val="9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2">
    <w:name w:val="FollowedHyperlink"/>
    <w:basedOn w:val="9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3">
    <w:name w:val="toc 1"/>
    <w:basedOn w:val="915"/>
    <w:next w:val="915"/>
    <w:uiPriority w:val="39"/>
    <w:unhideWhenUsed/>
    <w:pPr>
      <w:pBdr/>
      <w:spacing w:after="100"/>
      <w:ind/>
    </w:pPr>
  </w:style>
  <w:style w:type="paragraph" w:styleId="904">
    <w:name w:val="toc 2"/>
    <w:basedOn w:val="915"/>
    <w:next w:val="915"/>
    <w:uiPriority w:val="39"/>
    <w:unhideWhenUsed/>
    <w:pPr>
      <w:pBdr/>
      <w:spacing w:after="100"/>
      <w:ind w:left="220"/>
    </w:pPr>
  </w:style>
  <w:style w:type="paragraph" w:styleId="905">
    <w:name w:val="toc 3"/>
    <w:basedOn w:val="915"/>
    <w:next w:val="915"/>
    <w:uiPriority w:val="39"/>
    <w:unhideWhenUsed/>
    <w:pPr>
      <w:pBdr/>
      <w:spacing w:after="100"/>
      <w:ind w:left="440"/>
    </w:pPr>
  </w:style>
  <w:style w:type="paragraph" w:styleId="906">
    <w:name w:val="toc 4"/>
    <w:basedOn w:val="915"/>
    <w:next w:val="915"/>
    <w:uiPriority w:val="39"/>
    <w:unhideWhenUsed/>
    <w:pPr>
      <w:pBdr/>
      <w:spacing w:after="100"/>
      <w:ind w:left="660"/>
    </w:pPr>
  </w:style>
  <w:style w:type="paragraph" w:styleId="907">
    <w:name w:val="toc 5"/>
    <w:basedOn w:val="915"/>
    <w:next w:val="915"/>
    <w:uiPriority w:val="39"/>
    <w:unhideWhenUsed/>
    <w:pPr>
      <w:pBdr/>
      <w:spacing w:after="100"/>
      <w:ind w:left="880"/>
    </w:pPr>
  </w:style>
  <w:style w:type="paragraph" w:styleId="908">
    <w:name w:val="toc 6"/>
    <w:basedOn w:val="915"/>
    <w:next w:val="915"/>
    <w:uiPriority w:val="39"/>
    <w:unhideWhenUsed/>
    <w:pPr>
      <w:pBdr/>
      <w:spacing w:after="100"/>
      <w:ind w:left="1100"/>
    </w:pPr>
  </w:style>
  <w:style w:type="paragraph" w:styleId="909">
    <w:name w:val="toc 7"/>
    <w:basedOn w:val="915"/>
    <w:next w:val="915"/>
    <w:uiPriority w:val="39"/>
    <w:unhideWhenUsed/>
    <w:pPr>
      <w:pBdr/>
      <w:spacing w:after="100"/>
      <w:ind w:left="1320"/>
    </w:pPr>
  </w:style>
  <w:style w:type="paragraph" w:styleId="910">
    <w:name w:val="toc 8"/>
    <w:basedOn w:val="915"/>
    <w:next w:val="915"/>
    <w:uiPriority w:val="39"/>
    <w:unhideWhenUsed/>
    <w:pPr>
      <w:pBdr/>
      <w:spacing w:after="100"/>
      <w:ind w:left="1540"/>
    </w:pPr>
  </w:style>
  <w:style w:type="paragraph" w:styleId="911">
    <w:name w:val="toc 9"/>
    <w:basedOn w:val="915"/>
    <w:next w:val="915"/>
    <w:uiPriority w:val="39"/>
    <w:unhideWhenUsed/>
    <w:pPr>
      <w:pBdr/>
      <w:spacing w:after="100"/>
      <w:ind w:left="1760"/>
    </w:pPr>
  </w:style>
  <w:style w:type="character" w:styleId="912">
    <w:name w:val="Placeholder Text"/>
    <w:basedOn w:val="916"/>
    <w:uiPriority w:val="99"/>
    <w:semiHidden/>
    <w:pPr>
      <w:pBdr/>
      <w:spacing/>
      <w:ind/>
    </w:pPr>
    <w:rPr>
      <w:color w:val="666666"/>
    </w:rPr>
  </w:style>
  <w:style w:type="paragraph" w:styleId="913">
    <w:name w:val="TOC Heading"/>
    <w:uiPriority w:val="39"/>
    <w:unhideWhenUsed/>
    <w:pPr>
      <w:pBdr/>
      <w:spacing/>
      <w:ind/>
    </w:pPr>
  </w:style>
  <w:style w:type="paragraph" w:styleId="914">
    <w:name w:val="table of figures"/>
    <w:basedOn w:val="915"/>
    <w:next w:val="915"/>
    <w:uiPriority w:val="99"/>
    <w:unhideWhenUsed/>
    <w:pPr>
      <w:pBdr/>
      <w:spacing w:after="0" w:afterAutospacing="0"/>
      <w:ind/>
    </w:pPr>
  </w:style>
  <w:style w:type="paragraph" w:styleId="915" w:default="1">
    <w:name w:val="Normal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cs="Times New Roman" w:eastAsiaTheme="minorEastAsia"/>
      <w:color w:val="auto"/>
      <w:sz w:val="20"/>
      <w:szCs w:val="20"/>
      <w:lang w:val="ru-RU" w:eastAsia="ru-RU" w:bidi="ar-SA"/>
    </w:rPr>
  </w:style>
  <w:style w:type="character" w:styleId="91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7" w:customStyle="1">
    <w:name w:val="Верхний колонтитул Знак"/>
    <w:basedOn w:val="916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918" w:customStyle="1">
    <w:name w:val="Нижний колонтитул Знак"/>
    <w:basedOn w:val="916"/>
    <w:uiPriority w:val="99"/>
    <w:semiHidden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paragraph" w:styleId="919">
    <w:name w:val="Заголовок"/>
    <w:basedOn w:val="915"/>
    <w:next w:val="920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920">
    <w:name w:val="Body Text"/>
    <w:basedOn w:val="915"/>
    <w:pPr>
      <w:pBdr/>
      <w:spacing w:after="140" w:before="0" w:line="276" w:lineRule="auto"/>
      <w:ind/>
    </w:pPr>
  </w:style>
  <w:style w:type="paragraph" w:styleId="921">
    <w:name w:val="List"/>
    <w:basedOn w:val="920"/>
    <w:pPr>
      <w:pBdr/>
      <w:spacing/>
      <w:ind/>
    </w:pPr>
    <w:rPr>
      <w:rFonts w:ascii="PT Astra Serif" w:hAnsi="PT Astra Serif" w:cs="Noto Sans Devanagari"/>
    </w:rPr>
  </w:style>
  <w:style w:type="paragraph" w:styleId="922">
    <w:name w:val="Caption"/>
    <w:basedOn w:val="915"/>
    <w:qFormat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923">
    <w:name w:val="Указатель"/>
    <w:basedOn w:val="915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24">
    <w:name w:val="No Spacing"/>
    <w:uiPriority w:val="1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925">
    <w:name w:val="List Paragraph"/>
    <w:basedOn w:val="915"/>
    <w:uiPriority w:val="34"/>
    <w:qFormat/>
    <w:pPr>
      <w:pBdr/>
      <w:spacing w:after="0" w:before="0"/>
      <w:ind w:left="720"/>
      <w:contextualSpacing w:val="true"/>
    </w:pPr>
  </w:style>
  <w:style w:type="paragraph" w:styleId="926">
    <w:name w:val="Колонтитул"/>
    <w:basedOn w:val="915"/>
    <w:qFormat/>
    <w:pPr>
      <w:pBdr/>
      <w:spacing/>
      <w:ind/>
    </w:pPr>
  </w:style>
  <w:style w:type="paragraph" w:styleId="927">
    <w:name w:val="Header"/>
    <w:basedOn w:val="915"/>
    <w:link w:val="917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28">
    <w:name w:val="Footer"/>
    <w:basedOn w:val="915"/>
    <w:link w:val="918"/>
    <w:uiPriority w:val="99"/>
    <w:semiHidden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numbering" w:styleId="929" w:default="1">
    <w:name w:val="No List"/>
    <w:uiPriority w:val="99"/>
    <w:semiHidden/>
    <w:unhideWhenUsed/>
    <w:qFormat/>
    <w:pPr>
      <w:pBdr/>
      <w:spacing/>
      <w:ind/>
    </w:pPr>
  </w:style>
  <w:style w:type="table" w:styleId="930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Table Grid"/>
    <w:basedOn w:val="930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Мусатов</dc:creator>
  <dc:description/>
  <dc:language>ru-RU</dc:language>
  <cp:revision>15</cp:revision>
  <dcterms:created xsi:type="dcterms:W3CDTF">2018-07-04T12:30:00Z</dcterms:created>
  <dcterms:modified xsi:type="dcterms:W3CDTF">2025-09-15T07:51:08Z</dcterms:modified>
</cp:coreProperties>
</file>