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 w:cs="Times New Roman"/>
          <w:b w:val="false"/>
          <w:bCs w:val="false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 w:val="false"/>
          <w:bCs w:val="false"/>
          <w:sz w:val="28"/>
          <w:szCs w:val="28"/>
          <w:shd w:fill="FFFFFF" w:val="clear"/>
        </w:rPr>
        <w:t xml:space="preserve">          </w:t>
      </w:r>
      <w:r>
        <w:rPr>
          <w:rFonts w:cs="Times New Roman" w:ascii="XO Thames" w:hAnsi="XO Thames"/>
          <w:b w:val="false"/>
          <w:bCs w:val="false"/>
          <w:sz w:val="28"/>
          <w:szCs w:val="28"/>
          <w:shd w:fill="FFFFFF" w:val="clear"/>
        </w:rPr>
        <w:t>УТВЕРЖДЕНА</w:t>
      </w:r>
    </w:p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sz w:val="28"/>
          <w:szCs w:val="28"/>
          <w:shd w:fill="FFFFFF" w:val="clear"/>
        </w:rPr>
        <w:t xml:space="preserve">приказом </w:t>
      </w:r>
    </w:p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sz w:val="28"/>
          <w:szCs w:val="28"/>
          <w:shd w:fill="FFFFFF" w:val="clear"/>
        </w:rPr>
        <w:t>Контрольно-счетной палаты</w:t>
      </w:r>
    </w:p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sz w:val="28"/>
          <w:szCs w:val="28"/>
          <w:shd w:fill="FFFFFF" w:val="clear"/>
        </w:rPr>
        <w:t>Краснодарского края</w:t>
      </w:r>
    </w:p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sz w:val="28"/>
          <w:szCs w:val="28"/>
          <w:shd w:fill="FFFFFF" w:val="clear"/>
        </w:rPr>
        <w:t xml:space="preserve">от </w:t>
      </w:r>
      <w:r>
        <w:rPr>
          <w:rFonts w:cs="Times New Roman" w:ascii="XO Thames" w:hAnsi="XO Thames"/>
          <w:sz w:val="28"/>
          <w:szCs w:val="28"/>
          <w:shd w:fill="FFFFFF" w:val="clear"/>
        </w:rPr>
        <w:t>30 сентября 2025 г.</w:t>
      </w:r>
      <w:r>
        <w:rPr>
          <w:rFonts w:cs="Times New Roman" w:ascii="XO Thames" w:hAnsi="XO Thames"/>
          <w:sz w:val="28"/>
          <w:szCs w:val="28"/>
          <w:shd w:fill="FFFFFF" w:val="clear"/>
        </w:rPr>
        <w:t xml:space="preserve"> </w:t>
      </w:r>
    </w:p>
    <w:p>
      <w:pPr>
        <w:pStyle w:val="NoSpacing"/>
        <w:widowControl/>
        <w:bidi w:val="0"/>
        <w:spacing w:lineRule="auto" w:line="240" w:before="0" w:after="0"/>
        <w:ind w:hanging="0" w:left="5669" w:right="0"/>
        <w:jc w:val="left"/>
        <w:rPr>
          <w:rFonts w:ascii="XO Thames" w:hAnsi="XO Thames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sz w:val="28"/>
          <w:szCs w:val="28"/>
          <w:shd w:fill="FFFFFF" w:val="clear"/>
        </w:rPr>
        <w:t xml:space="preserve">№ </w:t>
      </w:r>
      <w:r>
        <w:rPr>
          <w:rFonts w:cs="Times New Roman" w:ascii="XO Thames" w:hAnsi="XO Thames"/>
          <w:sz w:val="28"/>
          <w:szCs w:val="28"/>
          <w:shd w:fill="FFFFFF" w:val="clear"/>
        </w:rPr>
        <w:t>68</w:t>
      </w:r>
    </w:p>
    <w:p>
      <w:pPr>
        <w:pStyle w:val="NoSpacing"/>
        <w:spacing w:lineRule="auto" w:line="240" w:before="0" w:after="0"/>
        <w:ind w:firstLine="709"/>
        <w:jc w:val="center"/>
        <w:rPr>
          <w:rFonts w:ascii="XO Thames" w:hAnsi="XO Thames" w:cs="Times New Roman"/>
          <w:sz w:val="28"/>
          <w:szCs w:val="28"/>
        </w:rPr>
      </w:pPr>
      <w:r>
        <w:rPr>
          <w:rFonts w:cs="Times New Roman" w:ascii="XO Thames" w:hAnsi="XO Thames"/>
          <w:sz w:val="28"/>
          <w:szCs w:val="28"/>
        </w:rPr>
      </w:r>
    </w:p>
    <w:p>
      <w:pPr>
        <w:pStyle w:val="NoSpacing"/>
        <w:spacing w:lineRule="auto" w:line="240" w:before="0" w:after="0"/>
        <w:ind w:firstLine="709"/>
        <w:jc w:val="center"/>
        <w:rPr>
          <w:rFonts w:ascii="XO Thames" w:hAnsi="XO Thames" w:cs="Times New Roman"/>
          <w:sz w:val="28"/>
          <w:szCs w:val="28"/>
        </w:rPr>
      </w:pPr>
      <w:r>
        <w:rPr>
          <w:rFonts w:cs="Times New Roman" w:ascii="XO Thames" w:hAnsi="XO Thames"/>
          <w:sz w:val="28"/>
          <w:szCs w:val="28"/>
        </w:rPr>
      </w:r>
    </w:p>
    <w:p>
      <w:pPr>
        <w:pStyle w:val="NoSpacing"/>
        <w:spacing w:lineRule="auto" w:line="240" w:before="0" w:after="0"/>
        <w:ind w:firstLine="709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  <w:t>Методика</w:t>
      </w:r>
    </w:p>
    <w:p>
      <w:pPr>
        <w:pStyle w:val="NoSpacing"/>
        <w:spacing w:lineRule="auto" w:line="240" w:before="0" w:after="0"/>
        <w:ind w:firstLine="709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проведения конкурсов на замещение вакантных должностей государственной гражданской службы Краснодарского края и включение в кадровый резерв Контрольно-счетной палаты Краснодарского края</w:t>
      </w:r>
    </w:p>
    <w:p>
      <w:pPr>
        <w:pStyle w:val="NoSpacing"/>
        <w:spacing w:lineRule="auto" w:line="240" w:before="0" w:after="0"/>
        <w:ind w:firstLine="709"/>
        <w:jc w:val="center"/>
        <w:rPr>
          <w:rFonts w:ascii="XO Thames" w:hAnsi="XO Thames" w:cs="Times New Roman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0"/>
          <w:numId w:val="1"/>
        </w:numPr>
        <w:spacing w:lineRule="auto" w:line="240" w:before="0" w:after="0"/>
        <w:ind w:firstLine="709" w:left="0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  <w:t>Общие положения</w:t>
      </w:r>
    </w:p>
    <w:p>
      <w:pPr>
        <w:pStyle w:val="NoSpacing"/>
        <w:spacing w:lineRule="auto" w:line="240" w:before="0" w:after="0"/>
        <w:ind w:firstLine="709"/>
        <w:rPr>
          <w:rFonts w:ascii="XO Thames" w:hAnsi="XO Thames" w:cs="Times New Roman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Настоящая Методика проведения конкурсов на замещение вакантных должностей государственной гражданской службы Краснодарского края и включения в кадровый резерв Контрольно-счетной палаты Краснодарского края (далее - Методика) </w:t>
      </w:r>
      <w:r>
        <w:rPr>
          <w:rFonts w:eastAsia="Times New Roman" w:cs="Times New Roman" w:ascii="XO Thames" w:hAnsi="XO Thames"/>
          <w:strike w:val="false"/>
          <w:dstrike w:val="false"/>
          <w:color w:val="000000"/>
          <w:sz w:val="28"/>
          <w:szCs w:val="28"/>
          <w:shd w:fill="FFFFFF" w:val="clear"/>
        </w:rPr>
        <w:t xml:space="preserve">определяет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проведение конкурсной процедуры и формирование профессионального кадрового состава государственной гражданской службы Краснодарского края (далее -   гражданская служба)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 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палаты Краснодарского края (далее - Контрольно-счетная палата).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Основными задачами проведения конкурсов в Контрольно-счетной палате являются: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обеспечение конституционного права граждан Российской  Федерации</w:t>
      </w: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 xml:space="preserve"> (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далее - граждане) на равный доступ к гражданской службе Краснодарского края;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отбор и формирование на конкурсной основе высокопрофессионального кадрового состава Контрольно-счетной палаты;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обеспечение права государственных гражданских служащих           (далее - гражданские служащие) на должностной рост на конкурсной основе;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формирование на конкурсной основе кадрового резерва</w:t>
        <w:br/>
        <w:t>Контрольно-счетной палаты для замещения вакантных должностей.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Право на участие в конкурсах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 в  Контрольно-счетной палате.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Конкурсы проводятся в целях оценки профессионального уровня граждан Российской Федерации (гражданских служащих), допущенных к участию в конкурсах, проверки их соответствия иным установленным квалификационным требованиям для замещения соответствующих должностей гражданской службы и определения по результатам таких оценки и проверки кандидата для назначения на должность гражданской службы в  Контрольно-счетной палате. 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 w:cs="Times New Roman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0"/>
          <w:numId w:val="1"/>
        </w:numPr>
        <w:spacing w:lineRule="auto" w:line="240" w:before="0" w:after="0"/>
        <w:ind w:firstLine="709" w:left="0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  <w:t>Организация проведения конкурса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 w:cs="Times New Roman"/>
          <w:b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Конкурс в  Контрольно-счетной палате объявляется по решению председателя Контрольно-счетной палаты либо лица его замещающего при наличии вакантной должности гражданской службы, замещение которой в соответствии со статьей 22 Федерального закона от 27 июля 2004 г.</w:t>
        <w:br/>
        <w:t>№ 79-ФЗ «О государственной гражданской службе Российской Федерации» может быть произведено на конкурсной основе.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 xml:space="preserve">Конкурс проводится в 2 (два) этапа: </w:t>
      </w:r>
    </w:p>
    <w:p>
      <w:pPr>
        <w:pStyle w:val="NoSpacing"/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прием документов для участия в конкурсе и анализ представленных документов;</w:t>
      </w:r>
    </w:p>
    <w:p>
      <w:pPr>
        <w:pStyle w:val="NoSpacing"/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тестирование и индивидуальное собеседование.</w:t>
      </w:r>
    </w:p>
    <w:p>
      <w:pPr>
        <w:pStyle w:val="NoSpacing"/>
        <w:numPr>
          <w:ilvl w:val="2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На первом этапе отдел государственной службы, кадровой  работы и противодействия коррупции управления делами</w:t>
        <w:br/>
        <w:t>Контрольно-счетной палаты организует: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подготовку приказа Контрольно-счетной палаты об объявлении конкурса;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подготовку и размещение на официальном сайте Контрольно-счетной палаты в информационно-телекоммуникационной сети «Интернет» (далее - официальный сайт Контрольно-счетной палаты)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— ФГИС ГС);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подготовку совместно со структурным подразделением</w:t>
        <w:br/>
        <w:t>Контрольно-счетной палаты, в котором на вакантную должность гражданской службы и (или) на включение в кадровый резерв</w:t>
        <w:br/>
        <w:t>Контрольно-счетной палаты объявлен конкурс, вопросов для проведения тестирования;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прием документов для участия в конкурсе на замещение вакантной должности гражданской службы и (или) на включение в кадровый резерв Контрольно-счетной палаты;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проверку достоверности документов, представленных кандидатами для участия в конкурсе (проверка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службы);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 xml:space="preserve">информирование граждан (гражданских служащих) посредством почтовой связи, а также с помощью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ФГИС ГС </w:t>
      </w: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о допуске (отказе в допуске) к участию в конкурсе, о месте, времени и порядке проведения конкурса.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О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бъявление о приеме документов для участия в конкурс</w:t>
      </w:r>
      <w:r>
        <w:rPr>
          <w:rFonts w:eastAsia="Times New Roman" w:cs="Times New Roman" w:ascii="XO Thames" w:hAnsi="XO Thames"/>
          <w:strike w:val="false"/>
          <w:dstrike w:val="false"/>
          <w:color w:val="000000"/>
          <w:sz w:val="28"/>
          <w:szCs w:val="28"/>
          <w:shd w:fill="FFFFFF" w:val="clear"/>
        </w:rPr>
        <w:t xml:space="preserve">е включает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следующую информацию: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наименование вакантной должности гражданской службы;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квалификационные требования для замещения этой должности;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условия прохождения гражданской службы;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о месте и времени приема документов, подлежащих представлению;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 сроке, до истечения которого принимаются указанные документы;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предполагаемую дату проведения конкурса;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о месте и порядке проведения конкурса;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о методах оценки; 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 положениях должностного регламента гражданского служащего, включающих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о возможности прохождения предварительного квалификационного теста, который размещается в ФГИС ГС; 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другие информационные материалы, связанные с проведением конкурса  для замещения  вакантной должности гражданской службы и (или) включения в кадровый резерв Контрольно-счетной палаты.</w:t>
      </w:r>
    </w:p>
    <w:p>
      <w:pPr>
        <w:pStyle w:val="NoSpacing"/>
        <w:numPr>
          <w:ilvl w:val="2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 xml:space="preserve">Гражданин, изъявивший желание участвовать в конкурсе, представляет в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палату</w:t>
      </w: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:</w:t>
      </w:r>
    </w:p>
    <w:p>
      <w:pPr>
        <w:pStyle w:val="NoSpacing"/>
        <w:spacing w:lineRule="auto" w:line="240" w:before="0" w:after="0"/>
        <w:ind w:left="709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личное заявление;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заполненную и подписанную анкету по форме, утвержденной Указом Президента Российской Федерации от 10 октября 2024 г. № 870;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копию паспорта или заменяющего его документа (соответствующий</w:t>
        <w:br/>
        <w:t>документ предъявляется лично по прибытии на конкурс);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документы, подтверждающие необходимое профессиональное образование, квалификацию и стаж работы: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>документ об отсутствии у гражданина заболевания, препятствующего</w:t>
        <w:br/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поступлению на гражданскую службу или ее прохождению;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/>
          <w:color w:val="auto"/>
          <w:sz w:val="28"/>
          <w:szCs w:val="28"/>
          <w:highlight w:val="none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согласие на обработку персональных данных;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иные документы, предусмотренные Федеральным законом от 27 июля 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2004 г. № 79-ФЗ «О государственной гражданской службе Российской Федерации», другими федеральными законами, указами Президента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Российской Федерации и постановлениями Правительства Российской Федерации.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Гражданский служащий </w:t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, изъявивший желание участвовать в конкурсе, подает заявление на имя председателя </w:t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 либо лица его замещающего.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Гражданский служащий иного государственного органа, изъявивший 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>желание участвовать в конкурсе, представляет в</w:t>
        <w:br/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Контрольно-счетной палату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 заявление на имя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председателя</w:t>
        <w:br/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 либо лица его замещающего, а также 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анкету,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заполненную, подписанную и заверенную </w:t>
      </w:r>
      <w:r>
        <w:rPr>
          <w:rFonts w:eastAsia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кадровой службой государственного органа, в котором гражданский служащий </w:t>
      </w:r>
      <w:r>
        <w:rPr>
          <w:rFonts w:eastAsia="Times New Roman" w:ascii="XO Thames" w:hAnsi="XO Thames"/>
          <w:color w:val="000000"/>
          <w:spacing w:val="-1"/>
          <w:sz w:val="28"/>
          <w:szCs w:val="28"/>
          <w:shd w:fill="FFFFFF" w:val="clear"/>
        </w:rPr>
        <w:t>замещает должность гражданской службы.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Гражданин (гражданский служащий) не допускается к участию в конкурсе в связи: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  <w:t>Документы для участия в конкурсе представляются в </w:t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Контрольно-счетной палату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>гражданином (гражданским служащим) лично, посредством направления по </w:t>
      </w:r>
      <w:bookmarkStart w:id="0" w:name="ext-gen1232"/>
      <w:bookmarkEnd w:id="0"/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 xml:space="preserve">почте или в электронном виде с использованием 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ФГИС ГС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 в течение 21 </w:t>
      </w:r>
      <w:r>
        <w:rPr>
          <w:rFonts w:eastAsia="Arial" w:ascii="XO Thames" w:hAnsi="XO Thames" w:eastAsiaTheme="minorEastAsia"/>
          <w:color w:val="000000"/>
          <w:sz w:val="28"/>
          <w:szCs w:val="28"/>
          <w:shd w:fill="FFFFFF" w:val="clear"/>
        </w:rPr>
        <w:t>календарного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 дня со дня размещения объявления </w:t>
      </w:r>
      <w:r>
        <w:rPr>
          <w:rFonts w:eastAsia="Arial" w:ascii="XO Thames" w:hAnsi="XO Thames" w:eastAsiaTheme="minorEastAsia"/>
          <w:strike w:val="false"/>
          <w:dstrike w:val="false"/>
          <w:color w:val="000000"/>
          <w:sz w:val="28"/>
          <w:szCs w:val="28"/>
          <w:shd w:fill="FFFFFF" w:val="clear"/>
        </w:rPr>
        <w:t>о п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риеме документов на официальном сайте </w:t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>Контрольно-счетной палаты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 и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ФГИС ГС</w:t>
      </w:r>
      <w:r>
        <w:rPr>
          <w:rFonts w:ascii="XO Thames" w:hAnsi="XO Thames"/>
          <w:color w:val="000000"/>
          <w:sz w:val="28"/>
          <w:szCs w:val="28"/>
          <w:shd w:fill="FFFFFF" w:val="clear"/>
        </w:rPr>
        <w:t xml:space="preserve"> в информационно-телекоммуникационной сети «Интернет».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Решение о дате, месте и времени проведения второго этапа конкурса принимается председателем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 либо лицом его замещающим после проверки достоверности и полноты сведений, представленных претендентами на замещение вакантной должности гражданской службы и (или) включения в кадровый резерв</w:t>
        <w:br/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.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>Второй этап конкурса проводится не позднее чем через 30 календарных дней после дня завершения приема документов для участия в конкурсе.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(или уполномоченным им лицом) о причинах отказа в участии в конкурсе.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 xml:space="preserve"> В случае если гражданин (гражданский служащий) представил документы для участия в конкурсе в электронном виде, извещение о причинах отказа в участии в конкурсе направляется ему в форме электронного документа, подписанного усиленной квалифицированной электронной подписью, с использованием ФГИС ГС.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Претендент, на замещение вакантной должности гражданской службы и (или) включения в кадровый резерв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Контрольно-счетной палаты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Контрольно-счетная палата не позднее чем за 15 календарных дней до начала второго этапа конкурса размещает указанную информацию на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официальном сайте Контрольно-счетной палаты и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 xml:space="preserve">ФГИС ГС в информационно-телекоммуникационной сети «Интернет», а также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направляет сообщения о дате, месте и времени его проведения гражданским служащим (гражданам), допущенным к участию в конкурсе (далее — кандидаты)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ru-RU" w:bidi="ar-SA"/>
        </w:rPr>
        <w:t>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 уполномоченного должностного лица</w:t>
        <w:br/>
        <w:t>Контрольно-счетной палаты, с использованием ФГИС ГС.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>
      <w:pPr>
        <w:pStyle w:val="ListParagraph"/>
        <w:numPr>
          <w:ilvl w:val="2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На втором этапе конкурса конкурсная комиссия</w:t>
        <w:br/>
        <w:t>Контрольно-счетной палаты (далее - конкурсная комиссия) проводит тестирование и индивидуальное собеседование.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XO Thames" w:hAnsi="XO Thames"/>
          <w:color w:val="auto"/>
          <w:sz w:val="28"/>
          <w:szCs w:val="28"/>
          <w:highlight w:val="none"/>
        </w:rPr>
      </w:pPr>
      <w:r>
        <w:rPr>
          <w:rFonts w:ascii="XO Thames" w:hAnsi="XO Thames"/>
          <w:color w:val="auto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XO Thames" w:hAnsi="XO Thames"/>
          <w:color w:val="auto"/>
          <w:sz w:val="28"/>
          <w:szCs w:val="28"/>
          <w:highlight w:val="none"/>
        </w:rPr>
      </w:pPr>
      <w:r>
        <w:rPr>
          <w:rFonts w:ascii="XO Thames" w:hAnsi="XO Thames"/>
          <w:color w:val="auto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Тестирование проводится: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для оценки знаний и умений по вопросам профессиональной служебной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деятельности,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Секретарь конкурсной комиссии не позднее 3-х рабочих дней до начала ее заседания знакомит членов конкурсной комиссии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При выполнении кандидатами конкурсных заданий и проведении заседания конкурсной комиссии по решению председателя конкурсной комиссии ведется видео- и (или) аудиозапись либо стенограмма проведения соответствующих конкурсных процедур.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en-US" w:bidi="ar-SA"/>
        </w:rPr>
        <w:t xml:space="preserve">        </w:t>
      </w:r>
      <w:r>
        <w:rPr>
          <w:rFonts w:eastAsia="Calibri" w:cs="Times New Roman" w:ascii="XO Thames" w:hAnsi="XO Thames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en-US" w:bidi="ar-SA"/>
        </w:rPr>
        <w:t>Р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кадровый резерв конкурсной комиссией могут рекомендоваться кандидаты, общая сумма набранных баллов которых составляет не менее 50 процентов от максимального балла.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Согласие кандидата на его включение в кадровый резерв по результатам конкурса на замещение вакантных должностей гражданской службы той же группы, к которой относилась вакантная должность гражданской службы, оформляется в письменной форме либо в форме электронного документа, подписанного усиленной квалифицированной электронной подписью, с использованием ФГИС ГС.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В случае необходимости заключения договора о целевом обучении с обязательством последующего прохождения государственной гражданской службы в Контрольно-счетной палате между отобранным на конкурсной основе гражданином, поступающим на обучение (обучающимся), и Контрольно-счетной палатой (далее - договор о целевом обучении), порядок организации и осуществления отбора граждан для заключения договора о целевом обучении определяется в соответствии с </w:t>
      </w:r>
      <w:bookmarkStart w:id="1" w:name="p_802"/>
      <w:bookmarkEnd w:id="1"/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Положением о подготовке в Законодательном Собрании Краснодарского края и иных государственных органах Краснодарского края кадров для государственной гражданской службы Краснодарского края по договорам о целевом обучении, утвержденным постановлением Законодательного Собрания Краснодарского края от 22 мая 2019 г. № 1130-П.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 w:eastAsia="Calibri" w:cs="Times New Roman" w:eastAsiaTheme="minorHAnsi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Calibri" w:cs="Times New Roman" w:eastAsiaTheme="minorHAnsi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</w:r>
    </w:p>
    <w:p>
      <w:pPr>
        <w:pStyle w:val="NoSpacing"/>
        <w:numPr>
          <w:ilvl w:val="0"/>
          <w:numId w:val="1"/>
        </w:numPr>
        <w:spacing w:lineRule="auto" w:line="240" w:before="0" w:after="0"/>
        <w:ind w:firstLine="709" w:left="0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b/>
          <w:bCs/>
          <w:color w:val="000000"/>
          <w:sz w:val="28"/>
          <w:szCs w:val="28"/>
          <w:shd w:fill="FFFFFF" w:val="clear"/>
          <w:lang w:val="ru-RU" w:eastAsia="en-US" w:bidi="ar-SA"/>
        </w:rPr>
        <w:t>Методы и критерии оценки знаний и навыков кандидата, претендующего на замещение вакантной должности гражданской службы либо включение в кадровый резерв</w:t>
      </w:r>
    </w:p>
    <w:p>
      <w:pPr>
        <w:pStyle w:val="NoSpacing"/>
        <w:spacing w:lineRule="auto" w:line="240" w:before="0" w:after="0"/>
        <w:ind w:firstLine="709"/>
        <w:jc w:val="both"/>
        <w:rPr>
          <w:rFonts w:ascii="XO Thames" w:hAnsi="XO Thames" w:eastAsia="Calibri" w:cs="Times New Roman" w:eastAsiaTheme="minorHAnsi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Calibri" w:cs="Times New Roman" w:eastAsiaTheme="minorHAnsi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Конкурсная комиссия оценивает профессиональный уровень кандидатов на основании представленных ими документов об образовании и (или) о квалификации (документов о присвоении ученой степени, ученого звания (при наличии),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Конкурсная комиссия 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Конкурсные процедуры выполняются с использованием следующих методов оценки профессиональных и личностных качеств кандидата: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тестирование;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индивидуальное собеседование.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Тест состоит из 2 частей: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первую часть входят вопросы на владение государственным языком Российской Федерации (русским языком), на знание Конституции Российской Федерации и основ конституционного устройства Российской Федерации, Устава Краснодарского края, а также федерального и краевого законодательства в области государственной гражданской службы, законодательства по противодействию коррупции и в области информационно-телекоммуникационных технологий;</w:t>
      </w:r>
    </w:p>
    <w:p>
      <w:pPr>
        <w:pStyle w:val="NoSpacing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во вторую часть входят вопросы 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Вопросы 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объявлен конкурс (группе должностей гражданской службы, по которой проводится конкурс на включение в кадровый резерв), и варианты ответов на них представляются в комиссию руководителями соответствующих структурных подразделений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Контрольно-счетной палаты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 не позднее, чем за две недели до даты проведения 2 этапа конкурса.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Общее количество вопросов в тесте - 60. Каждый вопрос теста должен иметь не менее трех вариантов ответов. Предложенные вопросы могут предполагать только один правильный ответ.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     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Уровень сложности тестовых вопросов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связи, иных средств хранения и передачи информации, выход кандидатов за пределы аудитории, в которой проводится тестирование.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Время для подготовки кандидатом ответов на вопросы теста составляет не более 120 минут. Всем кандидатам предоставляется равное количество времени для ответа на вопросы теста. Исправления в бланках тестирования не допускаются.</w:t>
      </w:r>
    </w:p>
    <w:p>
      <w:pPr>
        <w:pStyle w:val="BodyText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bookmarkStart w:id="2" w:name="p_110_Копия_2"/>
      <w:bookmarkEnd w:id="2"/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    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Подведение результатов тестирования основывается на количестве правильных ответов.</w:t>
      </w:r>
      <w:bookmarkStart w:id="3" w:name="p_111_Копия_2"/>
      <w:bookmarkEnd w:id="3"/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 Проверка и оценка теста проводится комиссией по количеству правильных ответов в отсутствие кандидата не позднее 2  рабочих дней после завершения тестирования. За каждый правильный ответ на вопрос в тесте кандидат получает по 1 баллу. Результаты тестирования оформляются секретарем комиссии в виде краткой справки.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bookmarkStart w:id="4" w:name="p_111_Копия_1"/>
      <w:bookmarkEnd w:id="4"/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Тестирование считается пройденным, если кандидат правильно ответил на 70 и более процентов заданных вопросов. Если из общего количества вопросов кандидатом дано 19 и более неправильных ответов, то кандидат считается не прошедшим тестирование и не допускается к собеседованию.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Итоги тестирования с указанием списков граждан (гражданских служащих), успешно прошедших тестирование и допущенных к индивидуальному собеседованию, а также граждан (гражданских служащих) публикуются на официальном сайте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Контрольно-счетной палаты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 в разделе «Кадровое обеспечение».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Предварительное индивидуальное собеседование может проводиться руководителем структурного подразделения</w:t>
        <w:br/>
        <w:t>Контрольно-счетной палаты, на замещение вакантной должности гражданской службы в котором проводится конкурс, или руководителем структурного подразделения Контрольно-счетной палаты, в котором реализуется область профессиональной служебной деятельности по группе должностей гражданской службы, по которой проводится конкурс на включение в кадровый резерв.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eastAsia="Calibri" w:cs="Times New Roman" w:eastAsiaTheme="minorHAnsi"/>
          <w:lang w:val="ru-RU" w:eastAsia="en-US" w:bidi="ar-SA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Результаты индивидуального собеседования оцениваются членами конкурсной комиссии: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5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4 балла,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1-3 балла,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По окончании индивидуального собеседования с кандидатом, каждый член конкурсной комиссии заносит в конкурсный бюллетень, составленный по форме согласно приложению № 3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397, результат оценки кандидата, при необходимости с краткой мотивировкой, обосновывающей принятое членом конкурсной комиссии решение.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>
      <w:pPr>
        <w:pStyle w:val="Normal"/>
        <w:widowControl/>
        <w:spacing w:lineRule="auto" w:line="240" w:before="0" w:after="0"/>
        <w:ind w:firstLine="708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 xml:space="preserve"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баллов, набранных кандидатом по итогам тестирования.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По результатам сопоставления итоговых баллов кандидатов, секретарь конкурсной комиссии формирует рейтинг кандидатов в порядке убывания их итоговых баллов.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Победителем по итогам пров</w:t>
      </w:r>
      <w:r>
        <w:rPr>
          <w:rFonts w:eastAsia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едения конкурсных процедур признается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кандидат, набравший наибольшее количество баллов.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При равенстве набранных баллов у нескольких кандидатов решение конкурсной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 xml:space="preserve">комиссии принимается открытым голосованием простым большинством </w:t>
      </w:r>
      <w:r>
        <w:rPr>
          <w:rFonts w:eastAsia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голосов ее членов, присутствующих на заседании конкурсной комиссии. При равенстве голосов решающим является голос председателя </w:t>
      </w: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конкурсной комиссии.</w:t>
      </w:r>
    </w:p>
    <w:p>
      <w:pPr>
        <w:pStyle w:val="ListParagraph"/>
        <w:widowControl/>
        <w:numPr>
          <w:ilvl w:val="1"/>
          <w:numId w:val="1"/>
        </w:numPr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ascii="XO Thames" w:hAnsi="XO Thames"/>
          <w:color w:val="000000"/>
          <w:sz w:val="28"/>
          <w:szCs w:val="28"/>
          <w:shd w:fill="FFFFFF" w:val="clear"/>
        </w:rPr>
        <w:t>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>
      <w:pPr>
        <w:pStyle w:val="ListParagraph"/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</w:rPr>
      </w:pPr>
      <w:r>
        <w:rPr>
          <w:rFonts w:ascii="XO Thames" w:hAnsi="XO Thames"/>
          <w:color w:val="auto"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firstLine="709" w:left="0"/>
        <w:contextualSpacing w:val="false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ascii="XO Thames" w:hAnsi="XO Thames"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0"/>
          <w:numId w:val="1"/>
        </w:numPr>
        <w:spacing w:lineRule="auto" w:line="240" w:before="0" w:after="0"/>
        <w:ind w:firstLine="709" w:left="0"/>
        <w:jc w:val="center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  <w:t>Заключительные положения</w:t>
      </w:r>
    </w:p>
    <w:p>
      <w:pPr>
        <w:pStyle w:val="NoSpacing"/>
        <w:spacing w:lineRule="auto" w:line="240" w:before="0" w:after="0"/>
        <w:ind w:firstLine="709"/>
        <w:rPr>
          <w:rFonts w:ascii="XO Thames" w:hAnsi="XO Thames" w:cs="Times New Roman"/>
          <w:b/>
          <w:color w:val="auto"/>
          <w:sz w:val="28"/>
          <w:szCs w:val="28"/>
          <w:highlight w:val="none"/>
          <w:shd w:fill="FFFFFF" w:val="clear"/>
        </w:rPr>
      </w:pPr>
      <w:r>
        <w:rPr>
          <w:rFonts w:cs="Times New Roman" w:ascii="XO Thames" w:hAnsi="XO Thames"/>
          <w:b/>
          <w:color w:val="000000"/>
          <w:sz w:val="28"/>
          <w:szCs w:val="28"/>
          <w:shd w:fill="FFFFFF" w:val="clear"/>
        </w:rPr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Результаты голосования конкурсной комиссии оформляются 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решением конкурсной комиссии по итогам конкурса на замещение вакантной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должности гражданской службы 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>и протоколом заседания конкурсной комиссии по результатам конкурса на включение в кадровый резерв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 по формам согласно приложениям №№ 4, 5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>остановлением Правительства Российской Федерации от 31 марта 2018 г. № 397, соответственно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. 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О результатах конкурса кандидаты, участвовавшие в конкурсе,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 уведомляются в письменной форме в течение 7 дней со дня его завершения, 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при этом кандидатам, которые представили документы для участия в конкурсе в</w:t>
      </w:r>
      <w:r>
        <w:rPr>
          <w:rFonts w:eastAsia="Times New Roman" w:cs="Times New Roman" w:ascii="XO Thames" w:hAnsi="XO Thame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электронном виде, - в форме электронного документа, подписанного усиленной квалифицированной электронной подписью уполномоченного должностного лица Контрольно-счетной палаты, с использованием ФГИС ГС.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 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     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Информация о результатах конкурса в указанный выше срок также размещается на официальном сайте Контрольно-счетной палаты и </w:t>
      </w:r>
      <w:r>
        <w:rPr>
          <w:rFonts w:eastAsia="Calibri" w:cs="Times New Roman" w:ascii="XO Thames" w:hAnsi="XO Thames" w:eastAsiaTheme="minorHAnsi"/>
          <w:color w:val="000000"/>
          <w:sz w:val="28"/>
          <w:szCs w:val="28"/>
          <w:shd w:fill="FFFFFF" w:val="clear"/>
          <w:lang w:val="ru-RU" w:eastAsia="en-US" w:bidi="ar-SA"/>
        </w:rPr>
        <w:t>ФГИС ГС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 в информационно-телекоммуникационной сети «Интернет».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Документы претендентов на замещение вакантной должности 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>гражданской службы и (или) на включение в кадровый резерв</w:t>
        <w:br/>
        <w:t xml:space="preserve">Контрольно-счетной палаты, не допущенных к участию в конкурсе, и кандидатов,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участвовавших в конкурсе, могут быть им возвращены по письменному заявлению в течение 3 лет со дня завершения конкурса. До истечения указанного</w:t>
      </w:r>
      <w:r>
        <w:rPr>
          <w:rFonts w:cs="Times New Roman" w:ascii="XO Thames" w:hAnsi="XO Thames"/>
          <w:color w:val="000000"/>
          <w:sz w:val="28"/>
          <w:szCs w:val="28"/>
          <w:shd w:fill="FFFFFF" w:val="clear"/>
        </w:rPr>
        <w:t xml:space="preserve"> с</w:t>
      </w: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рока документы хранятся в отделе государственной службы, кадровой работы и противодействия коррупции управления делами Контрольно-счетной палаты, после чего  подлежат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уничтожению.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pacing w:val="-2"/>
          <w:sz w:val="28"/>
          <w:szCs w:val="28"/>
          <w:shd w:fill="FFFFFF" w:val="clear"/>
        </w:rPr>
        <w:t xml:space="preserve">Расходы, связанные с участием кандидатов в конкурсе (проезд к месту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 xml:space="preserve">проведения конкурса и обратно, наем жилого помещения, проживание, </w:t>
      </w:r>
      <w:r>
        <w:rPr>
          <w:rFonts w:eastAsia="Times New Roman" w:cs="Times New Roman" w:ascii="XO Thames" w:hAnsi="XO Thames"/>
          <w:color w:val="000000"/>
          <w:spacing w:val="-1"/>
          <w:sz w:val="28"/>
          <w:szCs w:val="28"/>
          <w:shd w:fill="FFFFFF" w:val="clear"/>
        </w:rPr>
        <w:t xml:space="preserve">пользование услугами средств связи и другие), осуществляются ими за счет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собственных средств.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>
      <w:pPr>
        <w:pStyle w:val="BodyText"/>
        <w:numPr>
          <w:ilvl w:val="1"/>
          <w:numId w:val="1"/>
        </w:numPr>
        <w:spacing w:lineRule="auto" w:line="240" w:before="0" w:after="0"/>
        <w:ind w:firstLine="709" w:lef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bookmarkStart w:id="5" w:name="p_68"/>
      <w:bookmarkEnd w:id="5"/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По результатам конкурса издается приказ Контрольно-счетной палаты о результатах конкурса на замещение вакантных должностей  в Контрольно-счетной палате, приказ о приеме работника на работу и заключается служебный контракт о прохождении государственной гражданской службы Краснодарского края и замещения должности государственной гражданской службы Краснодарского края с победителем конкурса.</w:t>
      </w:r>
    </w:p>
    <w:p>
      <w:pPr>
        <w:pStyle w:val="BodyText"/>
        <w:widowControl/>
        <w:spacing w:lineRule="auto" w:line="240" w:before="0" w:after="0"/>
        <w:ind w:hanging="0" w:left="0" w:right="0"/>
        <w:jc w:val="both"/>
        <w:rPr>
          <w:rFonts w:ascii="XO Thames" w:hAnsi="XO Thames"/>
          <w:color w:val="auto"/>
          <w:sz w:val="28"/>
          <w:szCs w:val="28"/>
          <w:highlight w:val="none"/>
          <w:shd w:fill="FFFFFF" w:val="clear"/>
        </w:rPr>
      </w:pPr>
      <w:bookmarkStart w:id="6" w:name="p_1939"/>
      <w:bookmarkEnd w:id="6"/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 xml:space="preserve">        </w:t>
      </w: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Если конкурсной комиссией принято решение о включении в кадровый резерв Контрольно-счетной палаты кандидата, не ставшего победителем конкурса на замещение вакантной должности гражданской службы, то с согласия указанного лица издается приказ Контрольно-счетной палаты о включении его в кадровый резерв Контрольно-счетной палаты для замещения должностей гражданской службы той же группы, к которой относилась вакантная должность гражданской службы.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 w:eastAsia="Times New Roman" w:cs="Times New Roman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 w:eastAsia="Times New Roman" w:cs="Times New Roman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 w:eastAsia="Times New Roman" w:cs="Times New Roman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И.о. начальника</w:t>
      </w:r>
    </w:p>
    <w:p>
      <w:pPr>
        <w:pStyle w:val="NoSpacing"/>
        <w:numPr>
          <w:ilvl w:val="0"/>
          <w:numId w:val="0"/>
        </w:numPr>
        <w:spacing w:lineRule="auto" w:line="240" w:before="0" w:after="0"/>
        <w:ind w:hanging="0" w:left="0"/>
        <w:jc w:val="both"/>
        <w:rPr>
          <w:rFonts w:ascii="XO Thames" w:hAnsi="XO Thames" w:eastAsia="Times New Roman" w:cs="Times New Roman"/>
          <w:color w:val="auto"/>
          <w:sz w:val="28"/>
          <w:szCs w:val="28"/>
          <w:highlight w:val="none"/>
          <w:shd w:fill="FFFFFF" w:val="clear"/>
          <w:lang w:val="ru-RU" w:eastAsia="en-US" w:bidi="ar-SA"/>
        </w:rPr>
      </w:pPr>
      <w:r>
        <w:rPr>
          <w:rFonts w:eastAsia="Times New Roman" w:cs="Times New Roman" w:ascii="XO Thames" w:hAnsi="XO Thames"/>
          <w:color w:val="000000"/>
          <w:sz w:val="28"/>
          <w:szCs w:val="28"/>
          <w:shd w:fill="FFFFFF" w:val="clear"/>
          <w:lang w:val="ru-RU" w:eastAsia="en-US" w:bidi="ar-SA"/>
        </w:rPr>
        <w:t>управления делами</w:t>
        <w:tab/>
        <w:tab/>
        <w:tab/>
        <w:tab/>
        <w:tab/>
        <w:tab/>
        <w:tab/>
        <w:tab/>
        <w:t>А.В. Пинчук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Header"/>
      <w:rPr>
        <w:rFonts w:ascii="Times New Roman" w:hAnsi="Times New Roman" w:eastAsia="Calibri" w:cs="Times New Roman" w:eastAsiaTheme="minorHAnsi"/>
        <w:color w:val="auto"/>
        <w:sz w:val="28"/>
        <w:szCs w:val="28"/>
        <w:lang w:val="ru-RU" w:eastAsia="en-US" w:bidi="ar-SA"/>
      </w:rPr>
    </w:pPr>
    <w:r>
      <w:rPr>
        <w:rFonts w:eastAsia="Calibri" w:cs="Times New Roman" w:eastAsiaTheme="minorHAnsi"/>
        <w:color w:val="auto"/>
        <w:sz w:val="28"/>
        <w:szCs w:val="28"/>
        <w:lang w:val="ru-RU" w:eastAsia="en-US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sz w:val="28"/>
        <w:b w:val="false"/>
        <w:rFonts w:ascii="XO Thames" w:hAnsi="XO Thames" w:eastAsia="XO Thames" w:cs="XO Thames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7" w:customStyle="1">
    <w:name w:val="Верхний колонтитул Знак"/>
    <w:basedOn w:val="DefaultParagraphFont"/>
    <w:uiPriority w:val="99"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8" w:customStyle="1">
    <w:name w:val="Нижний колонтитул Знак"/>
    <w:basedOn w:val="DefaultParagraphFont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8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731">
    <w:name w:val="Table Grid Light"/>
    <w:basedOn w:val="92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Plain Table 1"/>
    <w:basedOn w:val="92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Plain Table 2"/>
    <w:basedOn w:val="9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73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74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5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76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7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78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79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4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5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6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7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8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19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0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821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2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3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4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5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6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7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8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9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830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31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32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33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34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35">
    <w:name w:val="Lined - Accent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6">
    <w:name w:val="Lined - Accent 1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7">
    <w:name w:val="Lined - Accent 2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8">
    <w:name w:val="Lined - Accent 3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9">
    <w:name w:val="Lined - Accent 4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0">
    <w:name w:val="Lined - Accent 5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1">
    <w:name w:val="Lined - Accent 6"/>
    <w:basedOn w:val="9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2">
    <w:name w:val="Bordered &amp; Lined - Accent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3">
    <w:name w:val="Bordered &amp; Lined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4">
    <w:name w:val="Bordered &amp; Lined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5">
    <w:name w:val="Bordered &amp; Lined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6">
    <w:name w:val="Bordered &amp; Lined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7">
    <w:name w:val="Bordered &amp; Lined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8">
    <w:name w:val="Bordered &amp; Lined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9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0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1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2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3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4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5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926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7">
    <w:name w:val="Table Grid"/>
    <w:basedOn w:val="92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12</Pages>
  <Words>3249</Words>
  <Characters>24193</Characters>
  <CharactersWithSpaces>27347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2018-07-16T09:14:00Z</dcterms:created>
  <dc:creator>Мусатов</dc:creator>
  <dc:description/>
  <dc:language>ru-RU</dc:language>
  <cp:lastModifiedBy/>
  <dcterms:modified xsi:type="dcterms:W3CDTF">2025-10-07T10:52:18Z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